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48"/>
          <w:szCs w:val="48"/>
        </w:rPr>
      </w:pPr>
      <w:r w:rsidDel="00000000" w:rsidR="00000000" w:rsidRPr="00000000">
        <w:rPr>
          <w:rtl w:val="0"/>
        </w:rPr>
      </w:r>
    </w:p>
    <w:p w:rsidR="00000000" w:rsidDel="00000000" w:rsidP="00000000" w:rsidRDefault="00000000" w:rsidRPr="00000000" w14:paraId="00000002">
      <w:pPr>
        <w:jc w:val="center"/>
        <w:rPr>
          <w:b w:val="1"/>
          <w:sz w:val="56"/>
          <w:szCs w:val="56"/>
        </w:rPr>
      </w:pPr>
      <w:r w:rsidDel="00000000" w:rsidR="00000000" w:rsidRPr="00000000">
        <w:rPr>
          <w:b w:val="1"/>
          <w:sz w:val="56"/>
          <w:szCs w:val="56"/>
          <w:rtl w:val="0"/>
        </w:rPr>
        <w:t xml:space="preserve">Meadow High School</w:t>
      </w:r>
      <w:r w:rsidDel="00000000" w:rsidR="00000000" w:rsidRPr="00000000">
        <w:drawing>
          <wp:anchor allowOverlap="1" behindDoc="0" distB="0" distT="0" distL="114300" distR="114300" hidden="0" layoutInCell="1" locked="0" relativeHeight="0" simplePos="0">
            <wp:simplePos x="0" y="0"/>
            <wp:positionH relativeFrom="column">
              <wp:posOffset>2505075</wp:posOffset>
            </wp:positionH>
            <wp:positionV relativeFrom="paragraph">
              <wp:posOffset>609600</wp:posOffset>
            </wp:positionV>
            <wp:extent cx="1395413" cy="1402154"/>
            <wp:effectExtent b="0" l="0" r="0" t="0"/>
            <wp:wrapSquare wrapText="bothSides" distB="0" distT="0" distL="114300" distR="114300"/>
            <wp:docPr descr="T:\2. WEBSITE\AAA NEW WEBSITE LIBRARY\NEW WEBSITE\Logos\Meadow Logo.png" id="6" name="image1.png"/>
            <a:graphic>
              <a:graphicData uri="http://schemas.openxmlformats.org/drawingml/2006/picture">
                <pic:pic>
                  <pic:nvPicPr>
                    <pic:cNvPr descr="T:\2. WEBSITE\AAA NEW WEBSITE LIBRARY\NEW WEBSITE\Logos\Meadow Logo.png" id="0" name="image1.png"/>
                    <pic:cNvPicPr preferRelativeResize="0"/>
                  </pic:nvPicPr>
                  <pic:blipFill>
                    <a:blip r:embed="rId7"/>
                    <a:srcRect b="0" l="0" r="0" t="0"/>
                    <a:stretch>
                      <a:fillRect/>
                    </a:stretch>
                  </pic:blipFill>
                  <pic:spPr>
                    <a:xfrm>
                      <a:off x="0" y="0"/>
                      <a:ext cx="1395413" cy="1402154"/>
                    </a:xfrm>
                    <a:prstGeom prst="rect"/>
                    <a:ln/>
                  </pic:spPr>
                </pic:pic>
              </a:graphicData>
            </a:graphic>
          </wp:anchor>
        </w:drawing>
      </w:r>
    </w:p>
    <w:p w:rsidR="00000000" w:rsidDel="00000000" w:rsidP="00000000" w:rsidRDefault="00000000" w:rsidRPr="00000000" w14:paraId="00000003">
      <w:pPr>
        <w:jc w:val="center"/>
        <w:rPr>
          <w:b w:val="1"/>
          <w:sz w:val="40"/>
          <w:szCs w:val="40"/>
        </w:rPr>
      </w:pPr>
      <w:r w:rsidDel="00000000" w:rsidR="00000000" w:rsidRPr="00000000">
        <w:rPr>
          <w:rtl w:val="0"/>
        </w:rPr>
      </w:r>
    </w:p>
    <w:p w:rsidR="00000000" w:rsidDel="00000000" w:rsidP="00000000" w:rsidRDefault="00000000" w:rsidRPr="00000000" w14:paraId="00000004">
      <w:pPr>
        <w:jc w:val="center"/>
        <w:rPr>
          <w:b w:val="1"/>
          <w:sz w:val="40"/>
          <w:szCs w:val="40"/>
        </w:rPr>
      </w:pPr>
      <w:r w:rsidDel="00000000" w:rsidR="00000000" w:rsidRPr="00000000">
        <w:rPr>
          <w:b w:val="1"/>
          <w:sz w:val="40"/>
          <w:szCs w:val="40"/>
          <w:rtl w:val="0"/>
        </w:rPr>
        <w:tab/>
      </w:r>
    </w:p>
    <w:p w:rsidR="00000000" w:rsidDel="00000000" w:rsidP="00000000" w:rsidRDefault="00000000" w:rsidRPr="00000000" w14:paraId="00000005">
      <w:pPr>
        <w:jc w:val="center"/>
        <w:rPr>
          <w:b w:val="1"/>
          <w:sz w:val="40"/>
          <w:szCs w:val="40"/>
        </w:rPr>
      </w:pPr>
      <w:r w:rsidDel="00000000" w:rsidR="00000000" w:rsidRPr="00000000">
        <w:rPr>
          <w:rtl w:val="0"/>
        </w:rPr>
      </w:r>
    </w:p>
    <w:p w:rsidR="00000000" w:rsidDel="00000000" w:rsidP="00000000" w:rsidRDefault="00000000" w:rsidRPr="00000000" w14:paraId="00000006">
      <w:pPr>
        <w:jc w:val="center"/>
        <w:rPr>
          <w:b w:val="1"/>
          <w:sz w:val="40"/>
          <w:szCs w:val="40"/>
        </w:rPr>
      </w:pPr>
      <w:r w:rsidDel="00000000" w:rsidR="00000000" w:rsidRPr="00000000">
        <w:rPr>
          <w:rtl w:val="0"/>
        </w:rPr>
      </w:r>
    </w:p>
    <w:p w:rsidR="00000000" w:rsidDel="00000000" w:rsidP="00000000" w:rsidRDefault="00000000" w:rsidRPr="00000000" w14:paraId="00000007">
      <w:pPr>
        <w:jc w:val="center"/>
        <w:rPr>
          <w:b w:val="1"/>
          <w:sz w:val="68"/>
          <w:szCs w:val="68"/>
        </w:rPr>
      </w:pPr>
      <w:r w:rsidDel="00000000" w:rsidR="00000000" w:rsidRPr="00000000">
        <w:rPr>
          <w:b w:val="1"/>
          <w:sz w:val="68"/>
          <w:szCs w:val="68"/>
          <w:rtl w:val="0"/>
        </w:rPr>
        <w:t xml:space="preserve">1.2 Exams - </w:t>
        <w:br w:type="textWrapping"/>
        <w:t xml:space="preserve">Internal Appeals Procedure</w:t>
      </w:r>
    </w:p>
    <w:p w:rsidR="00000000" w:rsidDel="00000000" w:rsidP="00000000" w:rsidRDefault="00000000" w:rsidRPr="00000000" w14:paraId="00000008">
      <w:pPr>
        <w:jc w:val="center"/>
        <w:rPr>
          <w:b w:val="1"/>
          <w:sz w:val="48"/>
          <w:szCs w:val="48"/>
        </w:rPr>
      </w:pPr>
      <w:r w:rsidDel="00000000" w:rsidR="00000000" w:rsidRPr="00000000">
        <w:rPr>
          <w:b w:val="1"/>
          <w:sz w:val="48"/>
          <w:szCs w:val="48"/>
          <w:rtl w:val="0"/>
        </w:rPr>
        <w:t xml:space="preserve">2022-2023</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jc w:val="center"/>
        <w:rPr>
          <w:i w:val="1"/>
          <w:sz w:val="28"/>
          <w:szCs w:val="28"/>
        </w:rPr>
      </w:pPr>
      <w:r w:rsidDel="00000000" w:rsidR="00000000" w:rsidRPr="00000000">
        <w:rPr>
          <w:i w:val="1"/>
          <w:sz w:val="28"/>
          <w:szCs w:val="28"/>
          <w:rtl w:val="0"/>
        </w:rPr>
        <w:t xml:space="preserve">This document is reviewed annually to ensure compliance with current JCQ (Joint Qualifications Council) regulations.</w:t>
      </w:r>
    </w:p>
    <w:p w:rsidR="00000000" w:rsidDel="00000000" w:rsidP="00000000" w:rsidRDefault="00000000" w:rsidRPr="00000000" w14:paraId="0000000C">
      <w:pPr>
        <w:rPr>
          <w:b w:val="1"/>
        </w:rPr>
      </w:pPr>
      <w:r w:rsidDel="00000000" w:rsidR="00000000" w:rsidRPr="00000000">
        <w:rPr>
          <w:rtl w:val="0"/>
        </w:rPr>
      </w:r>
    </w:p>
    <w:p w:rsidR="00000000" w:rsidDel="00000000" w:rsidP="00000000" w:rsidRDefault="00000000" w:rsidRPr="00000000" w14:paraId="0000000D">
      <w:pPr>
        <w:rPr>
          <w:rFonts w:ascii="Arial" w:cs="Arial" w:eastAsia="Arial" w:hAnsi="Arial"/>
          <w:b w:val="1"/>
          <w:color w:val="003399"/>
          <w:sz w:val="32"/>
          <w:szCs w:val="32"/>
        </w:rPr>
      </w:pPr>
      <w:r w:rsidDel="00000000" w:rsidR="00000000" w:rsidRPr="00000000">
        <w:rPr>
          <w:rtl w:val="0"/>
        </w:rPr>
      </w:r>
    </w:p>
    <w:p w:rsidR="00000000" w:rsidDel="00000000" w:rsidP="00000000" w:rsidRDefault="00000000" w:rsidRPr="00000000" w14:paraId="0000000E">
      <w:pPr>
        <w:rPr>
          <w:rFonts w:ascii="Arial" w:cs="Arial" w:eastAsia="Arial" w:hAnsi="Arial"/>
          <w:b w:val="1"/>
          <w:color w:val="003399"/>
          <w:sz w:val="32"/>
          <w:szCs w:val="32"/>
        </w:rPr>
      </w:pPr>
      <w:r w:rsidDel="00000000" w:rsidR="00000000" w:rsidRPr="00000000">
        <w:rPr>
          <w:rtl w:val="0"/>
        </w:rPr>
      </w:r>
    </w:p>
    <w:p w:rsidR="00000000" w:rsidDel="00000000" w:rsidP="00000000" w:rsidRDefault="00000000" w:rsidRPr="00000000" w14:paraId="0000000F">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Last Review: February 2023</w:t>
      </w:r>
    </w:p>
    <w:p w:rsidR="00000000" w:rsidDel="00000000" w:rsidP="00000000" w:rsidRDefault="00000000" w:rsidRPr="00000000" w14:paraId="00000010">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Next Review:  February 2024</w:t>
      </w:r>
    </w:p>
    <w:p w:rsidR="00000000" w:rsidDel="00000000" w:rsidP="00000000" w:rsidRDefault="00000000" w:rsidRPr="00000000" w14:paraId="00000011">
      <w:pPr>
        <w:rPr>
          <w:rFonts w:ascii="Arial" w:cs="Arial" w:eastAsia="Arial" w:hAnsi="Arial"/>
          <w:b w:val="1"/>
          <w:color w:val="003399"/>
          <w:sz w:val="32"/>
          <w:szCs w:val="32"/>
        </w:rPr>
      </w:pPr>
      <w:r w:rsidDel="00000000" w:rsidR="00000000" w:rsidRPr="00000000">
        <w:rPr>
          <w:rtl w:val="0"/>
        </w:rPr>
      </w:r>
    </w:p>
    <w:p w:rsidR="00000000" w:rsidDel="00000000" w:rsidP="00000000" w:rsidRDefault="00000000" w:rsidRPr="00000000" w14:paraId="00000012">
      <w:pPr>
        <w:rPr>
          <w:rFonts w:ascii="Arial" w:cs="Arial" w:eastAsia="Arial" w:hAnsi="Arial"/>
          <w:b w:val="1"/>
          <w:color w:val="003399"/>
          <w:sz w:val="32"/>
          <w:szCs w:val="32"/>
        </w:rPr>
      </w:pPr>
      <w:r w:rsidDel="00000000" w:rsidR="00000000" w:rsidRPr="00000000">
        <w:rPr>
          <w:rtl w:val="0"/>
        </w:rPr>
      </w:r>
    </w:p>
    <w:p w:rsidR="00000000" w:rsidDel="00000000" w:rsidP="00000000" w:rsidRDefault="00000000" w:rsidRPr="00000000" w14:paraId="00000013">
      <w:pPr>
        <w:rPr>
          <w:rFonts w:ascii="Arial" w:cs="Arial" w:eastAsia="Arial" w:hAnsi="Arial"/>
          <w:b w:val="1"/>
          <w:color w:val="003399"/>
          <w:sz w:val="32"/>
          <w:szCs w:val="32"/>
        </w:rPr>
      </w:pPr>
      <w:r w:rsidDel="00000000" w:rsidR="00000000" w:rsidRPr="00000000">
        <w:rPr>
          <w:rtl w:val="0"/>
        </w:rPr>
      </w:r>
    </w:p>
    <w:p w:rsidR="00000000" w:rsidDel="00000000" w:rsidP="00000000" w:rsidRDefault="00000000" w:rsidRPr="00000000" w14:paraId="00000014">
      <w:pPr>
        <w:rPr>
          <w:rFonts w:ascii="Arial" w:cs="Arial" w:eastAsia="Arial" w:hAnsi="Arial"/>
          <w:b w:val="1"/>
          <w:color w:val="003399"/>
          <w:sz w:val="32"/>
          <w:szCs w:val="32"/>
        </w:rPr>
      </w:pPr>
      <w:r w:rsidDel="00000000" w:rsidR="00000000" w:rsidRPr="00000000">
        <w:rPr>
          <w:rtl w:val="0"/>
        </w:rPr>
      </w:r>
    </w:p>
    <w:p w:rsidR="00000000" w:rsidDel="00000000" w:rsidP="00000000" w:rsidRDefault="00000000" w:rsidRPr="00000000" w14:paraId="00000015">
      <w:pP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Appeals procedure against internal assessment decisions</w:t>
      </w:r>
    </w:p>
    <w:p w:rsidR="00000000" w:rsidDel="00000000" w:rsidP="00000000" w:rsidRDefault="00000000" w:rsidRPr="00000000" w14:paraId="00000016">
      <w:pPr>
        <w:rPr>
          <w:rFonts w:ascii="Arial" w:cs="Arial" w:eastAsia="Arial" w:hAnsi="Arial"/>
        </w:rPr>
      </w:pPr>
      <w:r w:rsidDel="00000000" w:rsidR="00000000" w:rsidRPr="00000000">
        <w:rPr>
          <w:rFonts w:ascii="Arial" w:cs="Arial" w:eastAsia="Arial" w:hAnsi="Arial"/>
          <w:rtl w:val="0"/>
        </w:rPr>
        <w:t xml:space="preserve">Meadow High School is committed to ensuring that internal assessments</w:t>
      </w:r>
      <w:r w:rsidDel="00000000" w:rsidR="00000000" w:rsidRPr="00000000">
        <w:rPr>
          <w:rFonts w:ascii="Arial" w:cs="Arial" w:eastAsia="Arial" w:hAnsi="Arial"/>
          <w:vertAlign w:val="superscript"/>
          <w:rtl w:val="0"/>
        </w:rPr>
        <w:t xml:space="preserve"> </w:t>
      </w:r>
      <w:r w:rsidDel="00000000" w:rsidR="00000000" w:rsidRPr="00000000">
        <w:rPr>
          <w:rFonts w:ascii="Arial" w:cs="Arial" w:eastAsia="Arial" w:hAnsi="Arial"/>
          <w:rtl w:val="0"/>
        </w:rPr>
        <w:t xml:space="preserve">are marked and administered fairly, consistently and in accordance with the awarding body specifications and subject-specific associated documents.</w:t>
      </w:r>
    </w:p>
    <w:p w:rsidR="00000000" w:rsidDel="00000000" w:rsidP="00000000" w:rsidRDefault="00000000" w:rsidRPr="00000000" w14:paraId="00000017">
      <w:pPr>
        <w:spacing w:after="0" w:lineRule="auto"/>
        <w:rPr>
          <w:rFonts w:ascii="Arial" w:cs="Arial" w:eastAsia="Arial" w:hAnsi="Arial"/>
        </w:rPr>
      </w:pPr>
      <w:r w:rsidDel="00000000" w:rsidR="00000000" w:rsidRPr="00000000">
        <w:rPr>
          <w:rFonts w:ascii="Arial" w:cs="Arial" w:eastAsia="Arial" w:hAnsi="Arial"/>
          <w:rtl w:val="0"/>
        </w:rPr>
        <w:t xml:space="preserve">This is ensured by:</w:t>
      </w:r>
    </w:p>
    <w:p w:rsidR="00000000" w:rsidDel="00000000" w:rsidP="00000000" w:rsidRDefault="00000000" w:rsidRPr="00000000" w14:paraId="0000001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1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Subject staff having the necessary and appropriate knowledge, understanding, skills, and training in this activity</w:t>
        <w:br w:type="textWrapping"/>
      </w:r>
    </w:p>
    <w:p w:rsidR="00000000" w:rsidDel="00000000" w:rsidP="00000000" w:rsidRDefault="00000000" w:rsidRPr="00000000" w14:paraId="0000001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Subject staff authenticating candidates work according to the requirements of the relevant awarding body</w:t>
        <w:br w:type="textWrapping"/>
      </w:r>
    </w:p>
    <w:p w:rsidR="00000000" w:rsidDel="00000000" w:rsidP="00000000" w:rsidRDefault="00000000" w:rsidRPr="00000000" w14:paraId="0000001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process of internal moderation and standardisation led by nominated staff</w:t>
      </w:r>
    </w:p>
    <w:p w:rsidR="00000000" w:rsidDel="00000000" w:rsidP="00000000" w:rsidRDefault="00000000" w:rsidRPr="00000000" w14:paraId="0000001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1D">
      <w:pPr>
        <w:spacing w:after="0" w:lineRule="auto"/>
        <w:rPr>
          <w:rFonts w:ascii="Arial" w:cs="Arial" w:eastAsia="Arial" w:hAnsi="Arial"/>
        </w:rPr>
      </w:pPr>
      <w:r w:rsidDel="00000000" w:rsidR="00000000" w:rsidRPr="00000000">
        <w:rPr>
          <w:rFonts w:ascii="Arial" w:cs="Arial" w:eastAsia="Arial" w:hAnsi="Arial"/>
          <w:rtl w:val="0"/>
        </w:rPr>
        <w:t xml:space="preserve">An appeal against internal assessment decisions can be made, based on the above not being fulfilled.</w:t>
      </w:r>
    </w:p>
    <w:p w:rsidR="00000000" w:rsidDel="00000000" w:rsidP="00000000" w:rsidRDefault="00000000" w:rsidRPr="00000000" w14:paraId="0000001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1F">
      <w:pPr>
        <w:spacing w:after="0" w:lineRule="auto"/>
        <w:rPr>
          <w:rFonts w:ascii="Arial" w:cs="Arial" w:eastAsia="Arial" w:hAnsi="Arial"/>
        </w:rPr>
      </w:pPr>
      <w:r w:rsidDel="00000000" w:rsidR="00000000" w:rsidRPr="00000000">
        <w:rPr>
          <w:rFonts w:ascii="Arial" w:cs="Arial" w:eastAsia="Arial" w:hAnsi="Arial"/>
          <w:rtl w:val="0"/>
        </w:rPr>
        <w:t xml:space="preserve">All appeals must follow the procedure detailed below.</w:t>
      </w:r>
    </w:p>
    <w:p w:rsidR="00000000" w:rsidDel="00000000" w:rsidP="00000000" w:rsidRDefault="00000000" w:rsidRPr="00000000" w14:paraId="00000020">
      <w:pPr>
        <w:spacing w:after="0" w:lineRule="auto"/>
        <w:rPr>
          <w:rFonts w:ascii="Arial" w:cs="Arial" w:eastAsia="Arial" w:hAnsi="Arial"/>
          <w:i w:val="1"/>
        </w:rPr>
      </w:pPr>
      <w:r w:rsidDel="00000000" w:rsidR="00000000" w:rsidRPr="00000000">
        <w:rPr>
          <w:rFonts w:ascii="Arial" w:cs="Arial" w:eastAsia="Arial" w:hAnsi="Arial"/>
          <w:b w:val="1"/>
          <w:i w:val="1"/>
          <w:rtl w:val="0"/>
        </w:rPr>
        <w:t xml:space="preserve">Note</w:t>
      </w:r>
      <w:r w:rsidDel="00000000" w:rsidR="00000000" w:rsidRPr="00000000">
        <w:rPr>
          <w:rFonts w:ascii="Arial" w:cs="Arial" w:eastAsia="Arial" w:hAnsi="Arial"/>
          <w:i w:val="1"/>
          <w:rtl w:val="0"/>
        </w:rPr>
        <w:t xml:space="preserve"> - appeals may only be made against the marking/assessment process not against the mark submitted by the centre for moderation by the awarding body.</w:t>
      </w:r>
    </w:p>
    <w:p w:rsidR="00000000" w:rsidDel="00000000" w:rsidP="00000000" w:rsidRDefault="00000000" w:rsidRPr="00000000" w14:paraId="00000021">
      <w:pPr>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0022">
      <w:pPr>
        <w:numPr>
          <w:ilvl w:val="0"/>
          <w:numId w:val="1"/>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Appeals should be made as early as possible and </w:t>
      </w:r>
      <w:r w:rsidDel="00000000" w:rsidR="00000000" w:rsidRPr="00000000">
        <w:rPr>
          <w:rFonts w:ascii="Arial" w:cs="Arial" w:eastAsia="Arial" w:hAnsi="Arial"/>
          <w:b w:val="1"/>
          <w:rtl w:val="0"/>
        </w:rPr>
        <w:t xml:space="preserve">at least two weeks before</w:t>
      </w:r>
      <w:r w:rsidDel="00000000" w:rsidR="00000000" w:rsidRPr="00000000">
        <w:rPr>
          <w:rFonts w:ascii="Arial" w:cs="Arial" w:eastAsia="Arial" w:hAnsi="Arial"/>
          <w:rtl w:val="0"/>
        </w:rPr>
        <w:t xml:space="preserve"> the end of the last externally assessed paper in the examination series (e.g. the last GCSE written paper in the summer exam series).</w:t>
        <w:br w:type="textWrapping"/>
      </w:r>
    </w:p>
    <w:p w:rsidR="00000000" w:rsidDel="00000000" w:rsidP="00000000" w:rsidRDefault="00000000" w:rsidRPr="00000000" w14:paraId="00000023">
      <w:pPr>
        <w:numPr>
          <w:ilvl w:val="0"/>
          <w:numId w:val="1"/>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Appeals should be made using the </w:t>
      </w:r>
      <w:r w:rsidDel="00000000" w:rsidR="00000000" w:rsidRPr="00000000">
        <w:rPr>
          <w:rFonts w:ascii="Arial" w:cs="Arial" w:eastAsia="Arial" w:hAnsi="Arial"/>
          <w:b w:val="1"/>
          <w:rtl w:val="0"/>
        </w:rPr>
        <w:t xml:space="preserve">internal appeals form</w:t>
      </w:r>
      <w:r w:rsidDel="00000000" w:rsidR="00000000" w:rsidRPr="00000000">
        <w:rPr>
          <w:rFonts w:ascii="Arial" w:cs="Arial" w:eastAsia="Arial" w:hAnsi="Arial"/>
          <w:rtl w:val="0"/>
        </w:rPr>
        <w:t xml:space="preserve"> completed by the candidate (or parent/carer).</w:t>
        <w:br w:type="textWrapping"/>
      </w:r>
    </w:p>
    <w:p w:rsidR="00000000" w:rsidDel="00000000" w:rsidP="00000000" w:rsidRDefault="00000000" w:rsidRPr="00000000" w14:paraId="00000024">
      <w:pPr>
        <w:numPr>
          <w:ilvl w:val="0"/>
          <w:numId w:val="1"/>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The head of centre will appoint a member of the senior leadership team, who has no involvement in the assessment process for that subject to conduct the investigation.</w:t>
        <w:br w:type="textWrapping"/>
      </w:r>
    </w:p>
    <w:p w:rsidR="00000000" w:rsidDel="00000000" w:rsidP="00000000" w:rsidRDefault="00000000" w:rsidRPr="00000000" w14:paraId="00000025">
      <w:pPr>
        <w:numPr>
          <w:ilvl w:val="0"/>
          <w:numId w:val="1"/>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The purpose of the appeal will be to decide whether the process used for the internal assessment conformed to the published requirements as detailed in the awarding body specification(s) and/or subject-specific associated documents.</w:t>
        <w:br w:type="textWrapping"/>
      </w:r>
    </w:p>
    <w:p w:rsidR="00000000" w:rsidDel="00000000" w:rsidP="00000000" w:rsidRDefault="00000000" w:rsidRPr="00000000" w14:paraId="00000026">
      <w:pPr>
        <w:numPr>
          <w:ilvl w:val="0"/>
          <w:numId w:val="1"/>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The appellant will be informed in writing of the outcome of the appeal, including any relevant correspondence with the awarding body and any changes made to internal assessment procedures.</w:t>
        <w:br w:type="textWrapping"/>
      </w:r>
    </w:p>
    <w:p w:rsidR="00000000" w:rsidDel="00000000" w:rsidP="00000000" w:rsidRDefault="00000000" w:rsidRPr="00000000" w14:paraId="00000027">
      <w:pPr>
        <w:numPr>
          <w:ilvl w:val="0"/>
          <w:numId w:val="1"/>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The outcome of the appeal will be made known to the head of centre and will be logged as a complaint. A written record will be kept and made available to the awarding body upon request. Should the appeal bring any significant irregularity in procedures to light, the awarding body will be informed</w:t>
      </w:r>
    </w:p>
    <w:p w:rsidR="00000000" w:rsidDel="00000000" w:rsidP="00000000" w:rsidRDefault="00000000" w:rsidRPr="00000000" w14:paraId="00000028">
      <w:pPr>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29">
      <w:pPr>
        <w:spacing w:after="0" w:lineRule="auto"/>
        <w:jc w:val="both"/>
        <w:rPr>
          <w:rFonts w:ascii="Arial" w:cs="Arial" w:eastAsia="Arial" w:hAnsi="Arial"/>
        </w:rPr>
      </w:pPr>
      <w:r w:rsidDel="00000000" w:rsidR="00000000" w:rsidRPr="00000000">
        <w:rPr>
          <w:rFonts w:ascii="Arial" w:cs="Arial" w:eastAsia="Arial" w:hAnsi="Arial"/>
          <w:rtl w:val="0"/>
        </w:rPr>
        <w:t xml:space="preserve">After candidates’ work has been internally assessed, it is moderated by the awarding body to ensure consistency in marking between centres. The moderation may lead to mark changes. This process is outside the control of Meadow High School and is not covered by this procedure.</w:t>
      </w:r>
    </w:p>
    <w:p w:rsidR="00000000" w:rsidDel="00000000" w:rsidP="00000000" w:rsidRDefault="00000000" w:rsidRPr="00000000" w14:paraId="0000002A">
      <w:pPr>
        <w:spacing w:after="0" w:lineRule="auto"/>
        <w:ind w:right="-166"/>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B">
      <w:pPr>
        <w:spacing w:after="0" w:lineRule="auto"/>
        <w:ind w:right="-166"/>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C">
      <w:pPr>
        <w:spacing w:after="0" w:lineRule="auto"/>
        <w:ind w:right="-166"/>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D">
      <w:pPr>
        <w:spacing w:after="0" w:lineRule="auto"/>
        <w:ind w:right="-166"/>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E">
      <w:pPr>
        <w:spacing w:after="0" w:lineRule="auto"/>
        <w:ind w:right="-166"/>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F">
      <w:pPr>
        <w:spacing w:after="0" w:lineRule="auto"/>
        <w:ind w:right="-166"/>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0">
      <w:pPr>
        <w:spacing w:after="0" w:lineRule="auto"/>
        <w:ind w:right="-166"/>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1">
      <w:pP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Appeals procedure against centre decisions not to support an enquiry about results</w:t>
      </w:r>
    </w:p>
    <w:p w:rsidR="00000000" w:rsidDel="00000000" w:rsidP="00000000" w:rsidRDefault="00000000" w:rsidRPr="00000000" w14:paraId="00000032">
      <w:pPr>
        <w:spacing w:after="0" w:lineRule="auto"/>
        <w:rPr>
          <w:rFonts w:ascii="Arial" w:cs="Arial" w:eastAsia="Arial" w:hAnsi="Arial"/>
        </w:rPr>
      </w:pPr>
      <w:r w:rsidDel="00000000" w:rsidR="00000000" w:rsidRPr="00000000">
        <w:rPr>
          <w:rFonts w:ascii="Arial" w:cs="Arial" w:eastAsia="Arial" w:hAnsi="Arial"/>
          <w:rtl w:val="0"/>
        </w:rPr>
        <w:t xml:space="preserve">Following the issue of results, the general qualification awarding bodies offer </w:t>
      </w:r>
      <w:hyperlink r:id="rId8">
        <w:r w:rsidDel="00000000" w:rsidR="00000000" w:rsidRPr="00000000">
          <w:rPr>
            <w:rFonts w:ascii="Arial" w:cs="Arial" w:eastAsia="Arial" w:hAnsi="Arial"/>
            <w:color w:val="0000ff"/>
            <w:u w:val="single"/>
            <w:rtl w:val="0"/>
          </w:rPr>
          <w:t xml:space="preserve">post-results services</w:t>
        </w:r>
      </w:hyperlink>
      <w:r w:rsidDel="00000000" w:rsidR="00000000" w:rsidRPr="00000000">
        <w:rPr>
          <w:rFonts w:ascii="Arial" w:cs="Arial" w:eastAsia="Arial" w:hAnsi="Arial"/>
          <w:rtl w:val="0"/>
        </w:rPr>
        <w:t xml:space="preserve">. Full details of these services, internal deadlines for requesting a service and fees charged will be provided by the Examinations Officer.</w:t>
      </w:r>
    </w:p>
    <w:p w:rsidR="00000000" w:rsidDel="00000000" w:rsidP="00000000" w:rsidRDefault="00000000" w:rsidRPr="00000000" w14:paraId="0000003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34">
      <w:pPr>
        <w:pStyle w:val="Heading1"/>
        <w:spacing w:line="276" w:lineRule="auto"/>
        <w:rPr>
          <w:b w:val="0"/>
          <w:sz w:val="22"/>
          <w:szCs w:val="22"/>
        </w:rPr>
      </w:pPr>
      <w:r w:rsidDel="00000000" w:rsidR="00000000" w:rsidRPr="00000000">
        <w:rPr>
          <w:b w:val="0"/>
          <w:sz w:val="22"/>
          <w:szCs w:val="22"/>
          <w:rtl w:val="0"/>
        </w:rPr>
        <w:t xml:space="preserve">The service, </w:t>
      </w:r>
      <w:r w:rsidDel="00000000" w:rsidR="00000000" w:rsidRPr="00000000">
        <w:rPr>
          <w:b w:val="0"/>
          <w:i w:val="1"/>
          <w:sz w:val="22"/>
          <w:szCs w:val="22"/>
          <w:rtl w:val="0"/>
        </w:rPr>
        <w:t xml:space="preserve">enquiries about results</w:t>
      </w:r>
      <w:r w:rsidDel="00000000" w:rsidR="00000000" w:rsidRPr="00000000">
        <w:rPr>
          <w:b w:val="0"/>
          <w:sz w:val="22"/>
          <w:szCs w:val="22"/>
          <w:rtl w:val="0"/>
        </w:rPr>
        <w:t xml:space="preserve"> (EARs), may be requested by centre staff or candidates (or their parents/carers) if there are reasonable grounds for believing there has been an error in marking.</w:t>
        <w:br w:type="textWrapping"/>
        <w:t xml:space="preserve">If a query is raised about a particular examination result, the Examinations Officer, teaching staff and head of centre will investigate the feasibility of requesting an enquiry at the centre’s expense.</w:t>
        <w:br w:type="textWrapping"/>
        <w:br w:type="textWrapping"/>
        <w:t xml:space="preserve">When Meadow High School does not uphold a request from a candidate, the candidate may pay the appropriate fee, and a request will be made to the awarding body on the candidate’s behalf. </w:t>
      </w:r>
    </w:p>
    <w:p w:rsidR="00000000" w:rsidDel="00000000" w:rsidP="00000000" w:rsidRDefault="00000000" w:rsidRPr="00000000" w14:paraId="00000035">
      <w:pPr>
        <w:pStyle w:val="Heading1"/>
        <w:spacing w:line="276" w:lineRule="auto"/>
        <w:rPr>
          <w:b w:val="0"/>
          <w:sz w:val="22"/>
          <w:szCs w:val="22"/>
        </w:rPr>
      </w:pPr>
      <w:r w:rsidDel="00000000" w:rsidR="00000000" w:rsidRPr="00000000">
        <w:rPr>
          <w:rtl w:val="0"/>
        </w:rPr>
      </w:r>
    </w:p>
    <w:p w:rsidR="00000000" w:rsidDel="00000000" w:rsidP="00000000" w:rsidRDefault="00000000" w:rsidRPr="00000000" w14:paraId="00000036">
      <w:pPr>
        <w:pStyle w:val="Heading1"/>
        <w:spacing w:line="276" w:lineRule="auto"/>
        <w:rPr>
          <w:b w:val="0"/>
          <w:sz w:val="22"/>
          <w:szCs w:val="22"/>
        </w:rPr>
      </w:pPr>
      <w:r w:rsidDel="00000000" w:rsidR="00000000" w:rsidRPr="00000000">
        <w:rPr>
          <w:b w:val="0"/>
          <w:sz w:val="22"/>
          <w:szCs w:val="22"/>
          <w:rtl w:val="0"/>
        </w:rPr>
        <w:t xml:space="preserve">If the candidate (or their parent/carer) believes there are grounds to appeal against the centre’s decision not to support an enquiry, an appeal can be submitted to the centre using the </w:t>
      </w:r>
      <w:r w:rsidDel="00000000" w:rsidR="00000000" w:rsidRPr="00000000">
        <w:rPr>
          <w:sz w:val="22"/>
          <w:szCs w:val="22"/>
          <w:rtl w:val="0"/>
        </w:rPr>
        <w:t xml:space="preserve">internal appeals form </w:t>
      </w:r>
      <w:r w:rsidDel="00000000" w:rsidR="00000000" w:rsidRPr="00000000">
        <w:rPr>
          <w:b w:val="0"/>
          <w:sz w:val="22"/>
          <w:szCs w:val="22"/>
          <w:rtl w:val="0"/>
        </w:rPr>
        <w:t xml:space="preserve">at least </w:t>
      </w:r>
      <w:r w:rsidDel="00000000" w:rsidR="00000000" w:rsidRPr="00000000">
        <w:rPr>
          <w:sz w:val="22"/>
          <w:szCs w:val="22"/>
          <w:rtl w:val="0"/>
        </w:rPr>
        <w:t xml:space="preserve">one week prior to</w:t>
      </w:r>
      <w:r w:rsidDel="00000000" w:rsidR="00000000" w:rsidRPr="00000000">
        <w:rPr>
          <w:b w:val="0"/>
          <w:sz w:val="22"/>
          <w:szCs w:val="22"/>
          <w:rtl w:val="0"/>
        </w:rPr>
        <w:t xml:space="preserve"> the internal deadline for submitting an EAR.</w:t>
      </w:r>
    </w:p>
    <w:p w:rsidR="00000000" w:rsidDel="00000000" w:rsidP="00000000" w:rsidRDefault="00000000" w:rsidRPr="00000000" w14:paraId="00000037">
      <w:pPr>
        <w:rPr>
          <w:rFonts w:ascii="Arial" w:cs="Arial" w:eastAsia="Arial" w:hAnsi="Arial"/>
          <w:b w:val="1"/>
          <w:color w:val="ff3300"/>
        </w:rPr>
      </w:pPr>
      <w:r w:rsidDel="00000000" w:rsidR="00000000" w:rsidRPr="00000000">
        <w:rPr>
          <w:rtl w:val="0"/>
        </w:rPr>
      </w:r>
    </w:p>
    <w:p w:rsidR="00000000" w:rsidDel="00000000" w:rsidP="00000000" w:rsidRDefault="00000000" w:rsidRPr="00000000" w14:paraId="00000038">
      <w:pP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Appeals procedure following the outcome of an enquiry about results</w:t>
      </w:r>
    </w:p>
    <w:p w:rsidR="00000000" w:rsidDel="00000000" w:rsidP="00000000" w:rsidRDefault="00000000" w:rsidRPr="00000000" w14:paraId="00000039">
      <w:pPr>
        <w:rPr>
          <w:rFonts w:ascii="Arial" w:cs="Arial" w:eastAsia="Arial" w:hAnsi="Arial"/>
        </w:rPr>
      </w:pPr>
      <w:r w:rsidDel="00000000" w:rsidR="00000000" w:rsidRPr="00000000">
        <w:rPr>
          <w:rFonts w:ascii="Arial" w:cs="Arial" w:eastAsia="Arial" w:hAnsi="Arial"/>
          <w:rtl w:val="0"/>
        </w:rPr>
        <w:t xml:space="preserve">Where the head of centre remains dissatisfied after receiving the outcome of an EARs, an appeal will be made to the awarding body, following the guidance in the JCQ (Joint Qualification Council) publications Post</w:t>
      </w:r>
      <w:r w:rsidDel="00000000" w:rsidR="00000000" w:rsidRPr="00000000">
        <w:rPr>
          <w:rFonts w:ascii="Arial" w:cs="Arial" w:eastAsia="Arial" w:hAnsi="Arial"/>
          <w:i w:val="1"/>
          <w:rtl w:val="0"/>
        </w:rPr>
        <w:t xml:space="preserve">-results services </w:t>
      </w:r>
      <w:hyperlink r:id="rId9">
        <w:r w:rsidDel="00000000" w:rsidR="00000000" w:rsidRPr="00000000">
          <w:rPr>
            <w:rFonts w:ascii="Arial" w:cs="Arial" w:eastAsia="Arial" w:hAnsi="Arial"/>
            <w:color w:val="0000ff"/>
            <w:u w:val="single"/>
            <w:rtl w:val="0"/>
          </w:rPr>
          <w:t xml:space="preserve">http://www.jcq.org.uk/exams-office/post-results-services</w:t>
        </w:r>
      </w:hyperlink>
      <w:r w:rsidDel="00000000" w:rsidR="00000000" w:rsidRPr="00000000">
        <w:rPr>
          <w:rtl w:val="0"/>
        </w:rPr>
        <w:t xml:space="preserve"> </w:t>
      </w:r>
      <w:r w:rsidDel="00000000" w:rsidR="00000000" w:rsidRPr="00000000">
        <w:rPr>
          <w:rFonts w:ascii="Arial" w:cs="Arial" w:eastAsia="Arial" w:hAnsi="Arial"/>
          <w:rtl w:val="0"/>
        </w:rPr>
        <w:t xml:space="preserve">and </w:t>
      </w:r>
      <w:r w:rsidDel="00000000" w:rsidR="00000000" w:rsidRPr="00000000">
        <w:rPr>
          <w:rFonts w:ascii="Arial" w:cs="Arial" w:eastAsia="Arial" w:hAnsi="Arial"/>
          <w:i w:val="1"/>
          <w:rtl w:val="0"/>
        </w:rPr>
        <w:t xml:space="preserve">A guide to the awarding bodies’ appeals processes </w:t>
      </w:r>
      <w:hyperlink r:id="rId10">
        <w:r w:rsidDel="00000000" w:rsidR="00000000" w:rsidRPr="00000000">
          <w:rPr>
            <w:rFonts w:ascii="Arial" w:cs="Arial" w:eastAsia="Arial" w:hAnsi="Arial"/>
            <w:color w:val="0000ff"/>
            <w:u w:val="single"/>
            <w:rtl w:val="0"/>
          </w:rPr>
          <w:t xml:space="preserve">http://www.jcq.org.uk/exams-office/appeals</w:t>
        </w:r>
      </w:hyperlink>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Where the head of centre is satisfied after receiving the outcome of an EAR, but the internal candidates and/or their parents/carers are not satisfied, they may make a further representation to the head of centre. Following this, the head of centre’s decision as to whether to proceed with an appeal will be based upon the centre’s internal appeals arrangements.  Candidates, parents/carers are not permitted to make direct representations to an awarding body.</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internal appeals form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should be completed and submitted to the centre within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 calendar days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of the notification of the outcome of the enquiry. Subject to the head of centre’s decision, this will allow the centre to process the appeal and submit to the awarding body within the required 14 calendar days. Awarding body fees which may be charged for the appeal must be paid by the appellant on submission on the internal appeals form. If the appeal is upheld by the awarding body, this fee will be refunded by the awarding body and repaid to the appellant by the centre.</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3E">
      <w:pPr>
        <w:rPr>
          <w:rFonts w:ascii="Arial" w:cs="Arial" w:eastAsia="Arial" w:hAnsi="Arial"/>
          <w:highlight w:val="yellow"/>
        </w:rPr>
      </w:pPr>
      <w:r w:rsidDel="00000000" w:rsidR="00000000" w:rsidRPr="00000000">
        <w:rPr>
          <w:rFonts w:ascii="Arial" w:cs="Arial" w:eastAsia="Arial" w:hAnsi="Arial"/>
          <w:b w:val="1"/>
          <w:i w:val="1"/>
          <w:sz w:val="20"/>
          <w:szCs w:val="20"/>
          <w:rtl w:val="0"/>
        </w:rPr>
        <w:br w:type="textWrapping"/>
      </w:r>
      <w:r w:rsidDel="00000000" w:rsidR="00000000" w:rsidRPr="00000000">
        <w:rPr>
          <w:rFonts w:ascii="Arial" w:cs="Arial" w:eastAsia="Arial" w:hAnsi="Arial"/>
          <w:b w:val="1"/>
          <w:sz w:val="24"/>
          <w:szCs w:val="24"/>
          <w:highlight w:val="yellow"/>
          <w:u w:val="single"/>
          <w:rtl w:val="0"/>
        </w:rPr>
        <w:t xml:space="preserve">Appeal procedure following the awarding of Access Arrangements and / or Special Considerations</w:t>
        <w:br w:type="textWrapping"/>
        <w:br w:type="textWrapping"/>
      </w:r>
      <w:r w:rsidDel="00000000" w:rsidR="00000000" w:rsidRPr="00000000">
        <w:rPr>
          <w:rFonts w:ascii="Arial" w:cs="Arial" w:eastAsia="Arial" w:hAnsi="Arial"/>
          <w:highlight w:val="yellow"/>
          <w:rtl w:val="0"/>
        </w:rPr>
        <w:t xml:space="preserve">A candidate and / or the parent / carer may appeal regarding access arrangements or special considerations applied to their examinations on the basis that:</w:t>
      </w:r>
    </w:p>
    <w:p w:rsidR="00000000" w:rsidDel="00000000" w:rsidP="00000000" w:rsidRDefault="00000000" w:rsidRPr="00000000" w14:paraId="0000003F">
      <w:pPr>
        <w:numPr>
          <w:ilvl w:val="0"/>
          <w:numId w:val="7"/>
        </w:numPr>
        <w:spacing w:after="0" w:afterAutospacing="0"/>
        <w:ind w:left="720" w:hanging="360"/>
        <w:rPr>
          <w:highlight w:val="yellow"/>
        </w:rPr>
      </w:pPr>
      <w:r w:rsidDel="00000000" w:rsidR="00000000" w:rsidRPr="00000000">
        <w:rPr>
          <w:rFonts w:ascii="Times New Roman" w:cs="Times New Roman" w:eastAsia="Times New Roman" w:hAnsi="Times New Roman"/>
          <w:color w:val="003399"/>
          <w:highlight w:val="yellow"/>
          <w:rtl w:val="0"/>
        </w:rPr>
        <w:t xml:space="preserve"> </w:t>
      </w:r>
      <w:r w:rsidDel="00000000" w:rsidR="00000000" w:rsidRPr="00000000">
        <w:rPr>
          <w:rFonts w:ascii="Arial" w:cs="Arial" w:eastAsia="Arial" w:hAnsi="Arial"/>
          <w:highlight w:val="yellow"/>
          <w:rtl w:val="0"/>
        </w:rPr>
        <w:t xml:space="preserve">Candidate not assessed by the centre’s appointed assessor (Assistant Headteacher).</w:t>
      </w:r>
    </w:p>
    <w:p w:rsidR="00000000" w:rsidDel="00000000" w:rsidP="00000000" w:rsidRDefault="00000000" w:rsidRPr="00000000" w14:paraId="00000040">
      <w:pPr>
        <w:numPr>
          <w:ilvl w:val="0"/>
          <w:numId w:val="7"/>
        </w:numPr>
        <w:spacing w:after="0" w:afterAutospacing="0" w:before="0" w:beforeAutospacing="0" w:lineRule="auto"/>
        <w:ind w:left="720" w:hanging="360"/>
        <w:rPr>
          <w:highlight w:val="yellow"/>
        </w:rPr>
      </w:pPr>
      <w:r w:rsidDel="00000000" w:rsidR="00000000" w:rsidRPr="00000000">
        <w:rPr>
          <w:rFonts w:ascii="Arial" w:cs="Arial" w:eastAsia="Arial" w:hAnsi="Arial"/>
          <w:highlight w:val="yellow"/>
          <w:rtl w:val="0"/>
        </w:rPr>
        <w:t xml:space="preserve">Candidate not involved in decisions made regarding his/her access arrangements</w:t>
      </w:r>
    </w:p>
    <w:p w:rsidR="00000000" w:rsidDel="00000000" w:rsidP="00000000" w:rsidRDefault="00000000" w:rsidRPr="00000000" w14:paraId="00000041">
      <w:pPr>
        <w:numPr>
          <w:ilvl w:val="0"/>
          <w:numId w:val="7"/>
        </w:numPr>
        <w:spacing w:after="0" w:before="0" w:beforeAutospacing="0" w:lineRule="auto"/>
        <w:ind w:left="720" w:hanging="360"/>
        <w:rPr>
          <w:highlight w:val="yellow"/>
        </w:rPr>
      </w:pPr>
      <w:r w:rsidDel="00000000" w:rsidR="00000000" w:rsidRPr="00000000">
        <w:rPr>
          <w:rFonts w:ascii="Arial" w:cs="Arial" w:eastAsia="Arial" w:hAnsi="Arial"/>
          <w:highlight w:val="yellow"/>
          <w:rtl w:val="0"/>
        </w:rPr>
        <w:t xml:space="preserve">Candidate did not consent to record their personal data online (by the non-acquisition of a completed candidate personal data consent form)</w:t>
      </w:r>
    </w:p>
    <w:p w:rsidR="00000000" w:rsidDel="00000000" w:rsidP="00000000" w:rsidRDefault="00000000" w:rsidRPr="00000000" w14:paraId="00000042">
      <w:pPr>
        <w:numPr>
          <w:ilvl w:val="0"/>
          <w:numId w:val="7"/>
        </w:numPr>
        <w:spacing w:after="0" w:afterAutospacing="0" w:lineRule="auto"/>
        <w:ind w:left="720" w:hanging="360"/>
        <w:rPr>
          <w:highlight w:val="yellow"/>
        </w:rPr>
      </w:pPr>
      <w:r w:rsidDel="00000000" w:rsidR="00000000" w:rsidRPr="00000000">
        <w:rPr>
          <w:rFonts w:ascii="Arial" w:cs="Arial" w:eastAsia="Arial" w:hAnsi="Arial"/>
          <w:highlight w:val="yellow"/>
          <w:rtl w:val="0"/>
        </w:rPr>
        <w:t xml:space="preserve">Candidate not informed/adequately informed of the arrangements in place and the subjects or components of subjects where the arrangements would not apply</w:t>
      </w:r>
    </w:p>
    <w:p w:rsidR="00000000" w:rsidDel="00000000" w:rsidP="00000000" w:rsidRDefault="00000000" w:rsidRPr="00000000" w14:paraId="00000043">
      <w:pPr>
        <w:numPr>
          <w:ilvl w:val="0"/>
          <w:numId w:val="7"/>
        </w:numPr>
        <w:spacing w:after="0" w:afterAutospacing="0" w:before="0" w:beforeAutospacing="0" w:lineRule="auto"/>
        <w:ind w:left="720" w:hanging="360"/>
        <w:rPr>
          <w:rFonts w:ascii="Arial" w:cs="Arial" w:eastAsia="Arial" w:hAnsi="Arial"/>
          <w:highlight w:val="yellow"/>
        </w:rPr>
      </w:pPr>
      <w:r w:rsidDel="00000000" w:rsidR="00000000" w:rsidRPr="00000000">
        <w:rPr>
          <w:rFonts w:ascii="Arial" w:cs="Arial" w:eastAsia="Arial" w:hAnsi="Arial"/>
          <w:highlight w:val="yellow"/>
          <w:rtl w:val="0"/>
        </w:rPr>
        <w:t xml:space="preserve">Exam information not appropriately adapted for a disabled candidate to access it</w:t>
      </w:r>
    </w:p>
    <w:p w:rsidR="00000000" w:rsidDel="00000000" w:rsidP="00000000" w:rsidRDefault="00000000" w:rsidRPr="00000000" w14:paraId="00000044">
      <w:pPr>
        <w:numPr>
          <w:ilvl w:val="0"/>
          <w:numId w:val="7"/>
        </w:numPr>
        <w:spacing w:after="0" w:afterAutospacing="0" w:before="0" w:beforeAutospacing="0" w:lineRule="auto"/>
        <w:ind w:left="720" w:hanging="360"/>
        <w:rPr>
          <w:highlight w:val="yellow"/>
        </w:rPr>
      </w:pPr>
      <w:r w:rsidDel="00000000" w:rsidR="00000000" w:rsidRPr="00000000">
        <w:rPr>
          <w:rFonts w:ascii="Arial" w:cs="Arial" w:eastAsia="Arial" w:hAnsi="Arial"/>
          <w:highlight w:val="yellow"/>
          <w:rtl w:val="0"/>
        </w:rPr>
        <w:t xml:space="preserve">Approved accessAdapted equipment/assistive technology put in place failed during exam/assessment arrangement(s) not put in place at the time of an exam/assessment</w:t>
      </w:r>
    </w:p>
    <w:p w:rsidR="00000000" w:rsidDel="00000000" w:rsidP="00000000" w:rsidRDefault="00000000" w:rsidRPr="00000000" w14:paraId="00000045">
      <w:pPr>
        <w:numPr>
          <w:ilvl w:val="0"/>
          <w:numId w:val="7"/>
        </w:numPr>
        <w:spacing w:after="240" w:before="0" w:beforeAutospacing="0" w:lineRule="auto"/>
        <w:ind w:left="720" w:hanging="360"/>
        <w:rPr>
          <w:highlight w:val="yellow"/>
        </w:rPr>
      </w:pPr>
      <w:r w:rsidDel="00000000" w:rsidR="00000000" w:rsidRPr="00000000">
        <w:rPr>
          <w:rFonts w:ascii="Arial" w:cs="Arial" w:eastAsia="Arial" w:hAnsi="Arial"/>
          <w:highlight w:val="yellow"/>
          <w:rtl w:val="0"/>
        </w:rPr>
        <w:t xml:space="preserve">Appropriate arrangements not put in place at the time of an exam/assessment as a consequence of a temporary injury or impairment</w:t>
      </w:r>
      <w:r w:rsidDel="00000000" w:rsidR="00000000" w:rsidRPr="00000000">
        <w:br w:type="page"/>
      </w:r>
      <w:r w:rsidDel="00000000" w:rsidR="00000000" w:rsidRPr="00000000">
        <w:rPr>
          <w:rtl w:val="0"/>
        </w:rPr>
      </w:r>
    </w:p>
    <w:p w:rsidR="00000000" w:rsidDel="00000000" w:rsidP="00000000" w:rsidRDefault="00000000" w:rsidRPr="00000000" w14:paraId="00000046">
      <w:pPr>
        <w:spacing w:after="120" w:line="240" w:lineRule="auto"/>
        <w:rPr>
          <w:rFonts w:ascii="Arial" w:cs="Arial" w:eastAsia="Arial" w:hAnsi="Arial"/>
          <w:b w:val="1"/>
          <w:color w:val="003399"/>
          <w:sz w:val="24"/>
          <w:szCs w:val="24"/>
        </w:rPr>
      </w:pPr>
      <w:r w:rsidDel="00000000" w:rsidR="00000000" w:rsidRPr="00000000">
        <w:rPr>
          <w:rFonts w:ascii="Arial" w:cs="Arial" w:eastAsia="Arial" w:hAnsi="Arial"/>
          <w:b w:val="1"/>
          <w:color w:val="003399"/>
          <w:sz w:val="24"/>
          <w:szCs w:val="24"/>
          <w:rtl w:val="0"/>
        </w:rPr>
        <w:t xml:space="preserve">Internal appeals form</w:t>
      </w:r>
    </w:p>
    <w:p w:rsidR="00000000" w:rsidDel="00000000" w:rsidP="00000000" w:rsidRDefault="00000000" w:rsidRPr="00000000" w14:paraId="00000047">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form should be completed in all cases to lodge an appeal.</w:t>
      </w:r>
    </w:p>
    <w:p w:rsidR="00000000" w:rsidDel="00000000" w:rsidP="00000000" w:rsidRDefault="00000000" w:rsidRPr="00000000" w14:paraId="00000048">
      <w:pPr>
        <w:spacing w:after="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Please tick to indicate what the appeal is against:</w:t>
      </w:r>
    </w:p>
    <w:p w:rsidR="00000000" w:rsidDel="00000000" w:rsidP="00000000" w:rsidRDefault="00000000" w:rsidRPr="00000000" w14:paraId="0000004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 internal assessment decision </w:t>
      </w:r>
    </w:p>
    <w:p w:rsidR="00000000" w:rsidDel="00000000" w:rsidP="00000000" w:rsidRDefault="00000000" w:rsidRPr="00000000" w14:paraId="0000004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the centre decision not to support an enquiry about results</w:t>
      </w:r>
    </w:p>
    <w:p w:rsidR="00000000" w:rsidDel="00000000" w:rsidP="00000000" w:rsidRDefault="00000000" w:rsidRPr="00000000" w14:paraId="0000004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the outcome of an enquiry about results</w:t>
      </w:r>
    </w:p>
    <w:tbl>
      <w:tblPr>
        <w:tblStyle w:val="Table1"/>
        <w:tblW w:w="10560.0" w:type="dxa"/>
        <w:jc w:val="left"/>
        <w:tblInd w:w="-8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5"/>
        <w:gridCol w:w="2520"/>
        <w:gridCol w:w="1800"/>
        <w:gridCol w:w="3000"/>
        <w:gridCol w:w="1605"/>
        <w:tblGridChange w:id="0">
          <w:tblGrid>
            <w:gridCol w:w="1635"/>
            <w:gridCol w:w="2520"/>
            <w:gridCol w:w="1800"/>
            <w:gridCol w:w="3000"/>
            <w:gridCol w:w="1605"/>
          </w:tblGrid>
        </w:tblGridChange>
      </w:tblGrid>
      <w:tr>
        <w:trPr>
          <w:cantSplit w:val="0"/>
          <w:trHeight w:val="440" w:hRule="atLeast"/>
          <w:tblHeader w:val="0"/>
        </w:trPr>
        <w:tc>
          <w:tcPr>
            <w:shd w:fill="ff3300" w:val="clear"/>
            <w:vAlign w:val="center"/>
          </w:tcPr>
          <w:p w:rsidR="00000000" w:rsidDel="00000000" w:rsidP="00000000" w:rsidRDefault="00000000" w:rsidRPr="00000000" w14:paraId="0000004C">
            <w:pPr>
              <w:spacing w:after="0" w:line="288" w:lineRule="auto"/>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Name of appellant</w:t>
            </w:r>
          </w:p>
        </w:tc>
        <w:tc>
          <w:tcPr>
            <w:shd w:fill="auto" w:val="clear"/>
            <w:vAlign w:val="center"/>
          </w:tcPr>
          <w:p w:rsidR="00000000" w:rsidDel="00000000" w:rsidP="00000000" w:rsidRDefault="00000000" w:rsidRPr="00000000" w14:paraId="0000004D">
            <w:pPr>
              <w:spacing w:after="0" w:line="288" w:lineRule="auto"/>
              <w:rPr>
                <w:rFonts w:ascii="Arial" w:cs="Arial" w:eastAsia="Arial" w:hAnsi="Arial"/>
                <w:b w:val="1"/>
                <w:color w:val="ffffff"/>
                <w:sz w:val="20"/>
                <w:szCs w:val="20"/>
              </w:rPr>
            </w:pPr>
            <w:r w:rsidDel="00000000" w:rsidR="00000000" w:rsidRPr="00000000">
              <w:rPr>
                <w:rtl w:val="0"/>
              </w:rPr>
            </w:r>
          </w:p>
        </w:tc>
        <w:tc>
          <w:tcPr>
            <w:shd w:fill="ff3300" w:val="clear"/>
            <w:vAlign w:val="center"/>
          </w:tcPr>
          <w:p w:rsidR="00000000" w:rsidDel="00000000" w:rsidP="00000000" w:rsidRDefault="00000000" w:rsidRPr="00000000" w14:paraId="0000004E">
            <w:pPr>
              <w:spacing w:after="0" w:line="288" w:lineRule="auto"/>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Candidate name </w:t>
            </w:r>
          </w:p>
          <w:p w:rsidR="00000000" w:rsidDel="00000000" w:rsidP="00000000" w:rsidRDefault="00000000" w:rsidRPr="00000000" w14:paraId="0000004F">
            <w:pPr>
              <w:spacing w:after="0" w:line="288" w:lineRule="auto"/>
              <w:rPr>
                <w:rFonts w:ascii="Arial" w:cs="Arial" w:eastAsia="Arial" w:hAnsi="Arial"/>
                <w:b w:val="1"/>
                <w:color w:val="ffffff"/>
                <w:sz w:val="20"/>
                <w:szCs w:val="20"/>
              </w:rPr>
            </w:pPr>
            <w:r w:rsidDel="00000000" w:rsidR="00000000" w:rsidRPr="00000000">
              <w:rPr>
                <w:rFonts w:ascii="Arial" w:cs="Arial" w:eastAsia="Arial" w:hAnsi="Arial"/>
                <w:color w:val="ffffff"/>
                <w:sz w:val="20"/>
                <w:szCs w:val="20"/>
                <w:rtl w:val="0"/>
              </w:rPr>
              <w:t xml:space="preserve">i</w:t>
            </w:r>
            <w:r w:rsidDel="00000000" w:rsidR="00000000" w:rsidRPr="00000000">
              <w:rPr>
                <w:rFonts w:ascii="Arial" w:cs="Arial" w:eastAsia="Arial" w:hAnsi="Arial"/>
                <w:i w:val="1"/>
                <w:color w:val="ffffff"/>
                <w:sz w:val="20"/>
                <w:szCs w:val="20"/>
                <w:rtl w:val="0"/>
              </w:rPr>
              <w:t xml:space="preserve">f different to appellant</w:t>
            </w:r>
            <w:r w:rsidDel="00000000" w:rsidR="00000000" w:rsidRPr="00000000">
              <w:rPr>
                <w:rtl w:val="0"/>
              </w:rPr>
            </w:r>
          </w:p>
        </w:tc>
        <w:tc>
          <w:tcPr>
            <w:shd w:fill="auto" w:val="clear"/>
            <w:vAlign w:val="center"/>
          </w:tcPr>
          <w:p w:rsidR="00000000" w:rsidDel="00000000" w:rsidP="00000000" w:rsidRDefault="00000000" w:rsidRPr="00000000" w14:paraId="00000050">
            <w:pPr>
              <w:spacing w:after="0" w:line="288" w:lineRule="auto"/>
              <w:rPr>
                <w:rFonts w:ascii="Arial" w:cs="Arial" w:eastAsia="Arial" w:hAnsi="Arial"/>
                <w:b w:val="1"/>
                <w:color w:val="ffffff"/>
                <w:sz w:val="20"/>
                <w:szCs w:val="20"/>
              </w:rPr>
            </w:pPr>
            <w:r w:rsidDel="00000000" w:rsidR="00000000" w:rsidRPr="00000000">
              <w:rPr>
                <w:rtl w:val="0"/>
              </w:rPr>
            </w:r>
          </w:p>
        </w:tc>
        <w:tc>
          <w:tcPr>
            <w:shd w:fill="ff3300" w:val="clear"/>
            <w:vAlign w:val="center"/>
          </w:tcPr>
          <w:p w:rsidR="00000000" w:rsidDel="00000000" w:rsidP="00000000" w:rsidRDefault="00000000" w:rsidRPr="00000000" w14:paraId="00000051">
            <w:pPr>
              <w:spacing w:after="0" w:line="288" w:lineRule="auto"/>
              <w:rPr>
                <w:rFonts w:ascii="Arial" w:cs="Arial" w:eastAsia="Arial" w:hAnsi="Arial"/>
                <w:b w:val="1"/>
                <w:color w:val="ffffff"/>
                <w:sz w:val="20"/>
                <w:szCs w:val="20"/>
              </w:rPr>
            </w:pPr>
            <w:r w:rsidDel="00000000" w:rsidR="00000000" w:rsidRPr="00000000">
              <w:rPr>
                <w:rtl w:val="0"/>
              </w:rPr>
            </w:r>
          </w:p>
        </w:tc>
      </w:tr>
      <w:tr>
        <w:trPr>
          <w:cantSplit w:val="0"/>
          <w:trHeight w:val="440" w:hRule="atLeast"/>
          <w:tblHeader w:val="0"/>
        </w:trPr>
        <w:tc>
          <w:tcPr>
            <w:shd w:fill="ddd9c4" w:val="clear"/>
            <w:vAlign w:val="center"/>
          </w:tcPr>
          <w:p w:rsidR="00000000" w:rsidDel="00000000" w:rsidP="00000000" w:rsidRDefault="00000000" w:rsidRPr="00000000" w14:paraId="00000052">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Awarding body</w:t>
            </w:r>
          </w:p>
        </w:tc>
        <w:tc>
          <w:tcPr>
            <w:shd w:fill="auto" w:val="clear"/>
            <w:vAlign w:val="center"/>
          </w:tcPr>
          <w:p w:rsidR="00000000" w:rsidDel="00000000" w:rsidP="00000000" w:rsidRDefault="00000000" w:rsidRPr="00000000" w14:paraId="00000053">
            <w:pPr>
              <w:spacing w:after="0" w:line="360" w:lineRule="auto"/>
              <w:rPr>
                <w:rFonts w:ascii="Arial" w:cs="Arial" w:eastAsia="Arial" w:hAnsi="Arial"/>
                <w:b w:val="1"/>
                <w:i w:val="1"/>
                <w:color w:val="bfbfbf"/>
                <w:sz w:val="20"/>
                <w:szCs w:val="20"/>
              </w:rPr>
            </w:pPr>
            <w:r w:rsidDel="00000000" w:rsidR="00000000" w:rsidRPr="00000000">
              <w:rPr>
                <w:rtl w:val="0"/>
              </w:rPr>
            </w:r>
          </w:p>
        </w:tc>
        <w:tc>
          <w:tcPr>
            <w:shd w:fill="ddd9c4" w:val="clear"/>
            <w:vAlign w:val="center"/>
          </w:tcPr>
          <w:p w:rsidR="00000000" w:rsidDel="00000000" w:rsidP="00000000" w:rsidRDefault="00000000" w:rsidRPr="00000000" w14:paraId="00000054">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Unit/module/exam paper code</w:t>
            </w:r>
          </w:p>
        </w:tc>
        <w:tc>
          <w:tcPr>
            <w:shd w:fill="auto" w:val="clear"/>
            <w:vAlign w:val="center"/>
          </w:tcPr>
          <w:p w:rsidR="00000000" w:rsidDel="00000000" w:rsidP="00000000" w:rsidRDefault="00000000" w:rsidRPr="00000000" w14:paraId="00000055">
            <w:pPr>
              <w:spacing w:after="0" w:line="360" w:lineRule="auto"/>
              <w:rPr>
                <w:rFonts w:ascii="Arial" w:cs="Arial" w:eastAsia="Arial" w:hAnsi="Arial"/>
                <w:i w:val="1"/>
                <w:color w:val="bfbfbf"/>
                <w:sz w:val="20"/>
                <w:szCs w:val="20"/>
              </w:rPr>
            </w:pPr>
            <w:r w:rsidDel="00000000" w:rsidR="00000000" w:rsidRPr="00000000">
              <w:rPr>
                <w:rtl w:val="0"/>
              </w:rPr>
            </w:r>
          </w:p>
        </w:tc>
        <w:tc>
          <w:tcPr>
            <w:shd w:fill="ddd9c4" w:val="clear"/>
            <w:vAlign w:val="center"/>
          </w:tcPr>
          <w:p w:rsidR="00000000" w:rsidDel="00000000" w:rsidP="00000000" w:rsidRDefault="00000000" w:rsidRPr="00000000" w14:paraId="00000056">
            <w:pPr>
              <w:spacing w:after="0" w:line="360" w:lineRule="auto"/>
              <w:rPr>
                <w:rFonts w:ascii="Arial" w:cs="Arial" w:eastAsia="Arial" w:hAnsi="Arial"/>
                <w:sz w:val="20"/>
                <w:szCs w:val="20"/>
              </w:rPr>
            </w:pPr>
            <w:r w:rsidDel="00000000" w:rsidR="00000000" w:rsidRPr="00000000">
              <w:rPr>
                <w:rtl w:val="0"/>
              </w:rPr>
            </w:r>
          </w:p>
        </w:tc>
      </w:tr>
      <w:tr>
        <w:trPr>
          <w:cantSplit w:val="0"/>
          <w:trHeight w:val="580" w:hRule="atLeast"/>
          <w:tblHeader w:val="0"/>
        </w:trPr>
        <w:tc>
          <w:tcPr>
            <w:shd w:fill="ddd9c4" w:val="clear"/>
            <w:vAlign w:val="center"/>
          </w:tcPr>
          <w:p w:rsidR="00000000" w:rsidDel="00000000" w:rsidP="00000000" w:rsidRDefault="00000000" w:rsidRPr="00000000" w14:paraId="00000057">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Subject</w:t>
            </w:r>
          </w:p>
        </w:tc>
        <w:tc>
          <w:tcPr>
            <w:shd w:fill="auto" w:val="clear"/>
            <w:vAlign w:val="center"/>
          </w:tcPr>
          <w:p w:rsidR="00000000" w:rsidDel="00000000" w:rsidP="00000000" w:rsidRDefault="00000000" w:rsidRPr="00000000" w14:paraId="00000058">
            <w:pPr>
              <w:spacing w:after="0" w:line="360" w:lineRule="auto"/>
              <w:rPr>
                <w:rFonts w:ascii="Arial" w:cs="Arial" w:eastAsia="Arial" w:hAnsi="Arial"/>
                <w:i w:val="1"/>
                <w:color w:val="bfbfbf"/>
                <w:sz w:val="20"/>
                <w:szCs w:val="20"/>
              </w:rPr>
            </w:pPr>
            <w:r w:rsidDel="00000000" w:rsidR="00000000" w:rsidRPr="00000000">
              <w:rPr>
                <w:rtl w:val="0"/>
              </w:rPr>
            </w:r>
          </w:p>
        </w:tc>
        <w:tc>
          <w:tcPr>
            <w:shd w:fill="ddd9c4" w:val="clear"/>
            <w:vAlign w:val="center"/>
          </w:tcPr>
          <w:p w:rsidR="00000000" w:rsidDel="00000000" w:rsidP="00000000" w:rsidRDefault="00000000" w:rsidRPr="00000000" w14:paraId="00000059">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Unit/module/exam paper title</w:t>
            </w:r>
          </w:p>
        </w:tc>
        <w:tc>
          <w:tcPr>
            <w:shd w:fill="auto" w:val="clear"/>
            <w:vAlign w:val="center"/>
          </w:tcPr>
          <w:p w:rsidR="00000000" w:rsidDel="00000000" w:rsidP="00000000" w:rsidRDefault="00000000" w:rsidRPr="00000000" w14:paraId="0000005A">
            <w:pPr>
              <w:spacing w:after="0" w:line="360" w:lineRule="auto"/>
              <w:rPr>
                <w:rFonts w:ascii="Arial" w:cs="Arial" w:eastAsia="Arial" w:hAnsi="Arial"/>
                <w:sz w:val="20"/>
                <w:szCs w:val="20"/>
              </w:rPr>
            </w:pPr>
            <w:r w:rsidDel="00000000" w:rsidR="00000000" w:rsidRPr="00000000">
              <w:rPr>
                <w:rtl w:val="0"/>
              </w:rPr>
            </w:r>
          </w:p>
        </w:tc>
        <w:tc>
          <w:tcPr>
            <w:shd w:fill="ddd9c4" w:val="clear"/>
            <w:vAlign w:val="center"/>
          </w:tcPr>
          <w:p w:rsidR="00000000" w:rsidDel="00000000" w:rsidP="00000000" w:rsidRDefault="00000000" w:rsidRPr="00000000" w14:paraId="0000005B">
            <w:pPr>
              <w:spacing w:after="0" w:line="360" w:lineRule="auto"/>
              <w:rPr>
                <w:rFonts w:ascii="Arial" w:cs="Arial" w:eastAsia="Arial" w:hAnsi="Arial"/>
                <w:sz w:val="20"/>
                <w:szCs w:val="20"/>
              </w:rPr>
            </w:pPr>
            <w:r w:rsidDel="00000000" w:rsidR="00000000" w:rsidRPr="00000000">
              <w:rPr>
                <w:rtl w:val="0"/>
              </w:rPr>
            </w:r>
          </w:p>
        </w:tc>
      </w:tr>
      <w:tr>
        <w:trPr>
          <w:cantSplit w:val="0"/>
          <w:trHeight w:val="100" w:hRule="atLeast"/>
          <w:tblHeader w:val="0"/>
        </w:trPr>
        <w:tc>
          <w:tcPr>
            <w:gridSpan w:val="4"/>
            <w:shd w:fill="auto" w:val="clear"/>
          </w:tcPr>
          <w:p w:rsidR="00000000" w:rsidDel="00000000" w:rsidP="00000000" w:rsidRDefault="00000000" w:rsidRPr="00000000" w14:paraId="0000005C">
            <w:pPr>
              <w:spacing w:after="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Please state the grounds for your appeal below:</w:t>
            </w:r>
          </w:p>
          <w:p w:rsidR="00000000" w:rsidDel="00000000" w:rsidP="00000000" w:rsidRDefault="00000000" w:rsidRPr="00000000" w14:paraId="0000005D">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E">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F">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0">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1">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2">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3">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4">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5">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6">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7">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8">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9">
            <w:pPr>
              <w:spacing w:after="0" w:line="360" w:lineRule="auto"/>
              <w:jc w:val="right"/>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Continue overleaf if necessary</w:t>
            </w:r>
          </w:p>
        </w:tc>
        <w:tc>
          <w:tcPr>
            <w:shd w:fill="auto" w:val="clear"/>
          </w:tcPr>
          <w:p w:rsidR="00000000" w:rsidDel="00000000" w:rsidP="00000000" w:rsidRDefault="00000000" w:rsidRPr="00000000" w14:paraId="0000006D">
            <w:pPr>
              <w:spacing w:after="0" w:line="360" w:lineRule="auto"/>
              <w:jc w:val="both"/>
              <w:rPr>
                <w:rFonts w:ascii="Arial" w:cs="Arial" w:eastAsia="Arial" w:hAnsi="Arial"/>
                <w:sz w:val="20"/>
                <w:szCs w:val="20"/>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06E">
            <w:pPr>
              <w:spacing w:after="0" w:line="240" w:lineRule="auto"/>
              <w:rPr>
                <w:rFonts w:ascii="Arial" w:cs="Arial" w:eastAsia="Arial" w:hAnsi="Arial"/>
                <w:b w:val="1"/>
                <w:color w:val="ff3300"/>
                <w:sz w:val="20"/>
                <w:szCs w:val="20"/>
              </w:rPr>
            </w:pPr>
            <w:r w:rsidDel="00000000" w:rsidR="00000000" w:rsidRPr="00000000">
              <w:rPr>
                <w:rFonts w:ascii="Arial" w:cs="Arial" w:eastAsia="Arial" w:hAnsi="Arial"/>
                <w:b w:val="1"/>
                <w:color w:val="ff3300"/>
                <w:sz w:val="20"/>
                <w:szCs w:val="20"/>
                <w:rtl w:val="0"/>
              </w:rPr>
              <w:t xml:space="preserve">Appeal against an internal assessment decision</w:t>
            </w:r>
          </w:p>
          <w:p w:rsidR="00000000" w:rsidDel="00000000" w:rsidP="00000000" w:rsidRDefault="00000000" w:rsidRPr="00000000" w14:paraId="0000006F">
            <w:pPr>
              <w:spacing w:after="0"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Appellant declaration</w:t>
            </w:r>
          </w:p>
          <w:p w:rsidR="00000000" w:rsidDel="00000000" w:rsidP="00000000" w:rsidRDefault="00000000" w:rsidRPr="00000000" w14:paraId="00000070">
            <w:pPr>
              <w:spacing w:after="0" w:lin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By signing here, I am confirming I understand the purpose of the appeal will be to decide whether the process used for the internal assessment conformed to the published requirements of the awarding body’s specification and subject-specific associated documents. I also understand the appeal may only be made against the marking/assessment process not against the mark submitted by the centre for moderation by the awarding body.</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Signature:                                                                                            Date of signature:</w:t>
            </w:r>
          </w:p>
        </w:tc>
        <w:tc>
          <w:tcPr>
            <w:shd w:fill="auto" w:val="clear"/>
          </w:tcPr>
          <w:p w:rsidR="00000000" w:rsidDel="00000000" w:rsidP="00000000" w:rsidRDefault="00000000" w:rsidRPr="00000000" w14:paraId="00000076">
            <w:pPr>
              <w:spacing w:after="0" w:line="240" w:lineRule="auto"/>
              <w:rPr>
                <w:rFonts w:ascii="Arial" w:cs="Arial" w:eastAsia="Arial" w:hAnsi="Arial"/>
                <w:b w:val="1"/>
                <w:color w:val="ff3300"/>
                <w:sz w:val="20"/>
                <w:szCs w:val="20"/>
              </w:rPr>
            </w:pPr>
            <w:r w:rsidDel="00000000" w:rsidR="00000000" w:rsidRPr="00000000">
              <w:rPr>
                <w:rtl w:val="0"/>
              </w:rPr>
            </w:r>
          </w:p>
        </w:tc>
      </w:tr>
      <w:tr>
        <w:trPr>
          <w:cantSplit w:val="0"/>
          <w:trHeight w:val="500" w:hRule="atLeast"/>
          <w:tblHeader w:val="0"/>
        </w:trPr>
        <w:tc>
          <w:tcPr>
            <w:gridSpan w:val="4"/>
            <w:shd w:fill="auto" w:val="clear"/>
          </w:tcPr>
          <w:p w:rsidR="00000000" w:rsidDel="00000000" w:rsidP="00000000" w:rsidRDefault="00000000" w:rsidRPr="00000000" w14:paraId="00000077">
            <w:pPr>
              <w:spacing w:after="0" w:lineRule="auto"/>
              <w:rPr>
                <w:rFonts w:ascii="Arial" w:cs="Arial" w:eastAsia="Arial" w:hAnsi="Arial"/>
                <w:b w:val="1"/>
                <w:color w:val="ff3300"/>
                <w:sz w:val="20"/>
                <w:szCs w:val="20"/>
              </w:rPr>
            </w:pPr>
            <w:r w:rsidDel="00000000" w:rsidR="00000000" w:rsidRPr="00000000">
              <w:rPr>
                <w:rFonts w:ascii="Arial" w:cs="Arial" w:eastAsia="Arial" w:hAnsi="Arial"/>
                <w:b w:val="1"/>
                <w:color w:val="ff3300"/>
                <w:sz w:val="20"/>
                <w:szCs w:val="20"/>
                <w:rtl w:val="0"/>
              </w:rPr>
              <w:t xml:space="preserve">Appeal against the centre decision not to support an enquiry about results</w:t>
            </w:r>
          </w:p>
          <w:p w:rsidR="00000000" w:rsidDel="00000000" w:rsidP="00000000" w:rsidRDefault="00000000" w:rsidRPr="00000000" w14:paraId="00000078">
            <w:pPr>
              <w:spacing w:after="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Appellant declaration</w:t>
            </w:r>
          </w:p>
          <w:p w:rsidR="00000000" w:rsidDel="00000000" w:rsidP="00000000" w:rsidRDefault="00000000" w:rsidRPr="00000000" w14:paraId="00000079">
            <w:pPr>
              <w:spacing w:after="0" w:lin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By signing here, I am confirming I feel there are grounds to appeal against the centre’s decision.</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B">
            <w:pPr>
              <w:spacing w:after="0" w:line="240" w:lineRule="auto"/>
              <w:rPr>
                <w:rFonts w:ascii="Arial" w:cs="Arial" w:eastAsia="Arial" w:hAnsi="Arial"/>
                <w:b w:val="1"/>
              </w:rPr>
            </w:pPr>
            <w:r w:rsidDel="00000000" w:rsidR="00000000" w:rsidRPr="00000000">
              <w:rPr>
                <w:rFonts w:ascii="Arial" w:cs="Arial" w:eastAsia="Arial" w:hAnsi="Arial"/>
                <w:b w:val="1"/>
                <w:sz w:val="20"/>
                <w:szCs w:val="20"/>
                <w:rtl w:val="0"/>
              </w:rPr>
              <w:t xml:space="preserve">Signature:                                                                                            Date of signature:</w:t>
            </w:r>
            <w:r w:rsidDel="00000000" w:rsidR="00000000" w:rsidRPr="00000000">
              <w:rPr>
                <w:rtl w:val="0"/>
              </w:rPr>
            </w:r>
          </w:p>
        </w:tc>
        <w:tc>
          <w:tcPr>
            <w:shd w:fill="auto" w:val="clear"/>
          </w:tcPr>
          <w:p w:rsidR="00000000" w:rsidDel="00000000" w:rsidP="00000000" w:rsidRDefault="00000000" w:rsidRPr="00000000" w14:paraId="0000007F">
            <w:pPr>
              <w:spacing w:after="0" w:lineRule="auto"/>
              <w:rPr>
                <w:rFonts w:ascii="Arial" w:cs="Arial" w:eastAsia="Arial" w:hAnsi="Arial"/>
                <w:b w:val="1"/>
                <w:color w:val="ff3300"/>
                <w:sz w:val="20"/>
                <w:szCs w:val="20"/>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080">
            <w:pPr>
              <w:spacing w:after="0" w:line="240" w:lineRule="auto"/>
              <w:rPr>
                <w:rFonts w:ascii="Arial" w:cs="Arial" w:eastAsia="Arial" w:hAnsi="Arial"/>
                <w:b w:val="1"/>
                <w:color w:val="ff3300"/>
                <w:sz w:val="20"/>
                <w:szCs w:val="20"/>
              </w:rPr>
            </w:pPr>
            <w:r w:rsidDel="00000000" w:rsidR="00000000" w:rsidRPr="00000000">
              <w:rPr>
                <w:rFonts w:ascii="Arial" w:cs="Arial" w:eastAsia="Arial" w:hAnsi="Arial"/>
                <w:b w:val="1"/>
                <w:color w:val="ff3300"/>
                <w:sz w:val="20"/>
                <w:szCs w:val="20"/>
                <w:rtl w:val="0"/>
              </w:rPr>
              <w:t xml:space="preserve">Appeal against the outcome of an enquiry about results</w:t>
            </w:r>
          </w:p>
          <w:p w:rsidR="00000000" w:rsidDel="00000000" w:rsidP="00000000" w:rsidRDefault="00000000" w:rsidRPr="00000000" w14:paraId="00000081">
            <w:pPr>
              <w:spacing w:after="0"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Appellant declaration</w:t>
            </w:r>
          </w:p>
          <w:p w:rsidR="00000000" w:rsidDel="00000000" w:rsidP="00000000" w:rsidRDefault="00000000" w:rsidRPr="00000000" w14:paraId="00000082">
            <w:pPr>
              <w:spacing w:after="0" w:lin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By signing here, I am confirming I understand that the grounds for my appeal must relate to the awarding body’s procedures or the application of the post-result service procedures. I also understand that appeals do not generally involve further reviews of marking candidates’ work. I also confirm that I will pay in advance any fees which may be charged by the awarding body for the appeal. I understand this fee will be refunded if the appeal is upheld. </w:t>
            </w:r>
          </w:p>
          <w:p w:rsidR="00000000" w:rsidDel="00000000" w:rsidP="00000000" w:rsidRDefault="00000000" w:rsidRPr="00000000" w14:paraId="00000083">
            <w:pPr>
              <w:spacing w:after="0"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4">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Signature:                                                                                             Date of signature:</w:t>
            </w:r>
          </w:p>
        </w:tc>
        <w:tc>
          <w:tcPr>
            <w:shd w:fill="auto" w:val="clear"/>
          </w:tcPr>
          <w:p w:rsidR="00000000" w:rsidDel="00000000" w:rsidP="00000000" w:rsidRDefault="00000000" w:rsidRPr="00000000" w14:paraId="00000088">
            <w:pPr>
              <w:spacing w:after="0" w:line="240" w:lineRule="auto"/>
              <w:rPr>
                <w:rFonts w:ascii="Arial" w:cs="Arial" w:eastAsia="Arial" w:hAnsi="Arial"/>
                <w:b w:val="1"/>
                <w:color w:val="ff3300"/>
                <w:sz w:val="20"/>
                <w:szCs w:val="20"/>
              </w:rPr>
            </w:pPr>
            <w:r w:rsidDel="00000000" w:rsidR="00000000" w:rsidRPr="00000000">
              <w:rPr>
                <w:rtl w:val="0"/>
              </w:rPr>
            </w:r>
          </w:p>
        </w:tc>
      </w:tr>
    </w:tbl>
    <w:p w:rsidR="00000000" w:rsidDel="00000000" w:rsidP="00000000" w:rsidRDefault="00000000" w:rsidRPr="00000000" w14:paraId="00000089">
      <w:pPr>
        <w:rPr>
          <w:sz w:val="16"/>
          <w:szCs w:val="16"/>
        </w:rPr>
      </w:pPr>
      <w:r w:rsidDel="00000000" w:rsidR="00000000" w:rsidRPr="00000000">
        <w:rPr>
          <w:rtl w:val="0"/>
        </w:rPr>
      </w:r>
    </w:p>
    <w:p w:rsidR="00000000" w:rsidDel="00000000" w:rsidP="00000000" w:rsidRDefault="00000000" w:rsidRPr="00000000" w14:paraId="0000008A">
      <w:pPr>
        <w:spacing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The appellant declaration against the relevant appeal must be signed, dated and returned to the EO, on behalf of the head of centre, to the timescale indicated in the internal appeals procedure.</w:t>
      </w:r>
    </w:p>
    <w:p w:rsidR="00000000" w:rsidDel="00000000" w:rsidP="00000000" w:rsidRDefault="00000000" w:rsidRPr="00000000" w14:paraId="0000008B">
      <w:pPr>
        <w:spacing w:after="240" w:before="240" w:lineRule="auto"/>
        <w:rPr>
          <w:rFonts w:ascii="Arial" w:cs="Arial" w:eastAsia="Arial" w:hAnsi="Arial"/>
        </w:rPr>
      </w:pPr>
      <w:r w:rsidDel="00000000" w:rsidR="00000000" w:rsidRPr="00000000">
        <w:rPr>
          <w:rFonts w:ascii="Arial" w:cs="Arial" w:eastAsia="Arial" w:hAnsi="Arial"/>
          <w:rtl w:val="0"/>
        </w:rPr>
        <w:t xml:space="preserve">Further guidance to inform and implement appeals procedures</w:t>
      </w:r>
    </w:p>
    <w:p w:rsidR="00000000" w:rsidDel="00000000" w:rsidP="00000000" w:rsidRDefault="00000000" w:rsidRPr="00000000" w14:paraId="0000008C">
      <w:pPr>
        <w:spacing w:after="120" w:before="120" w:lineRule="auto"/>
        <w:rPr>
          <w:rFonts w:ascii="Arial" w:cs="Arial" w:eastAsia="Arial" w:hAnsi="Arial"/>
          <w:b w:val="1"/>
          <w:color w:val="333333"/>
        </w:rPr>
      </w:pPr>
      <w:r w:rsidDel="00000000" w:rsidR="00000000" w:rsidRPr="00000000">
        <w:rPr>
          <w:rFonts w:ascii="Arial" w:cs="Arial" w:eastAsia="Arial" w:hAnsi="Arial"/>
          <w:b w:val="1"/>
          <w:color w:val="333333"/>
          <w:rtl w:val="0"/>
        </w:rPr>
        <w:t xml:space="preserve">JCQ publications</w:t>
      </w:r>
    </w:p>
    <w:p w:rsidR="00000000" w:rsidDel="00000000" w:rsidP="00000000" w:rsidRDefault="00000000" w:rsidRPr="00000000" w14:paraId="0000008D">
      <w:pPr>
        <w:numPr>
          <w:ilvl w:val="0"/>
          <w:numId w:val="5"/>
        </w:numPr>
        <w:spacing w:after="240" w:lineRule="auto"/>
        <w:ind w:left="720" w:hanging="360"/>
        <w:rPr>
          <w:rFonts w:ascii="Arial" w:cs="Arial" w:eastAsia="Arial" w:hAnsi="Arial"/>
          <w:color w:val="333333"/>
        </w:rPr>
      </w:pPr>
      <w:r w:rsidDel="00000000" w:rsidR="00000000" w:rsidRPr="00000000">
        <w:rPr>
          <w:rFonts w:ascii="Verdana" w:cs="Verdana" w:eastAsia="Verdana" w:hAnsi="Verdana"/>
          <w:color w:val="333333"/>
          <w:sz w:val="20"/>
          <w:szCs w:val="20"/>
          <w:rtl w:val="0"/>
        </w:rPr>
        <w:t xml:space="preserve">General Regulations for Approved Centres</w:t>
      </w:r>
      <w:r w:rsidDel="00000000" w:rsidR="00000000" w:rsidRPr="00000000">
        <w:rPr>
          <w:rtl w:val="0"/>
        </w:rPr>
      </w:r>
    </w:p>
    <w:p w:rsidR="00000000" w:rsidDel="00000000" w:rsidP="00000000" w:rsidRDefault="00000000" w:rsidRPr="00000000" w14:paraId="0000008E">
      <w:pPr>
        <w:spacing w:after="0" w:lineRule="auto"/>
        <w:ind w:left="720" w:firstLine="0"/>
        <w:rPr>
          <w:rFonts w:ascii="Verdana" w:cs="Verdana" w:eastAsia="Verdana" w:hAnsi="Verdana"/>
          <w:color w:val="1155cc"/>
          <w:sz w:val="20"/>
          <w:szCs w:val="20"/>
          <w:u w:val="single"/>
        </w:rPr>
      </w:pPr>
      <w:hyperlink r:id="rId11">
        <w:r w:rsidDel="00000000" w:rsidR="00000000" w:rsidRPr="00000000">
          <w:rPr>
            <w:rFonts w:ascii="Verdana" w:cs="Verdana" w:eastAsia="Verdana" w:hAnsi="Verdana"/>
            <w:color w:val="1155cc"/>
            <w:sz w:val="20"/>
            <w:szCs w:val="20"/>
            <w:u w:val="single"/>
            <w:rtl w:val="0"/>
          </w:rPr>
          <w:t xml:space="preserve">https://www.jcq.org.uk/exams-office/general-regulations</w:t>
        </w:r>
      </w:hyperlink>
      <w:r w:rsidDel="00000000" w:rsidR="00000000" w:rsidRPr="00000000">
        <w:rPr>
          <w:rtl w:val="0"/>
        </w:rPr>
      </w:r>
    </w:p>
    <w:p w:rsidR="00000000" w:rsidDel="00000000" w:rsidP="00000000" w:rsidRDefault="00000000" w:rsidRPr="00000000" w14:paraId="0000008F">
      <w:pPr>
        <w:numPr>
          <w:ilvl w:val="0"/>
          <w:numId w:val="4"/>
        </w:numPr>
        <w:spacing w:after="240" w:lineRule="auto"/>
        <w:ind w:left="720" w:hanging="360"/>
        <w:rPr>
          <w:rFonts w:ascii="Arial" w:cs="Arial" w:eastAsia="Arial" w:hAnsi="Arial"/>
          <w:color w:val="333333"/>
        </w:rPr>
      </w:pPr>
      <w:r w:rsidDel="00000000" w:rsidR="00000000" w:rsidRPr="00000000">
        <w:rPr>
          <w:rFonts w:ascii="Verdana" w:cs="Verdana" w:eastAsia="Verdana" w:hAnsi="Verdana"/>
          <w:color w:val="333333"/>
          <w:sz w:val="20"/>
          <w:szCs w:val="20"/>
          <w:rtl w:val="0"/>
        </w:rPr>
        <w:t xml:space="preserve">Post-Results Services</w:t>
      </w:r>
      <w:r w:rsidDel="00000000" w:rsidR="00000000" w:rsidRPr="00000000">
        <w:rPr>
          <w:rtl w:val="0"/>
        </w:rPr>
      </w:r>
    </w:p>
    <w:p w:rsidR="00000000" w:rsidDel="00000000" w:rsidP="00000000" w:rsidRDefault="00000000" w:rsidRPr="00000000" w14:paraId="00000090">
      <w:pPr>
        <w:spacing w:after="0" w:lineRule="auto"/>
        <w:ind w:left="720" w:firstLine="0"/>
        <w:rPr>
          <w:rFonts w:ascii="Verdana" w:cs="Verdana" w:eastAsia="Verdana" w:hAnsi="Verdana"/>
          <w:color w:val="1155cc"/>
          <w:sz w:val="20"/>
          <w:szCs w:val="20"/>
          <w:u w:val="single"/>
        </w:rPr>
      </w:pPr>
      <w:hyperlink r:id="rId12">
        <w:r w:rsidDel="00000000" w:rsidR="00000000" w:rsidRPr="00000000">
          <w:rPr>
            <w:rFonts w:ascii="Verdana" w:cs="Verdana" w:eastAsia="Verdana" w:hAnsi="Verdana"/>
            <w:color w:val="1155cc"/>
            <w:sz w:val="20"/>
            <w:szCs w:val="20"/>
            <w:u w:val="single"/>
            <w:rtl w:val="0"/>
          </w:rPr>
          <w:t xml:space="preserve">https://www.jcq.org.uk/exams-office/post-results-services</w:t>
        </w:r>
      </w:hyperlink>
      <w:r w:rsidDel="00000000" w:rsidR="00000000" w:rsidRPr="00000000">
        <w:rPr>
          <w:rtl w:val="0"/>
        </w:rPr>
      </w:r>
    </w:p>
    <w:p w:rsidR="00000000" w:rsidDel="00000000" w:rsidP="00000000" w:rsidRDefault="00000000" w:rsidRPr="00000000" w14:paraId="00000091">
      <w:pPr>
        <w:numPr>
          <w:ilvl w:val="0"/>
          <w:numId w:val="3"/>
        </w:numPr>
        <w:spacing w:after="240" w:lineRule="auto"/>
        <w:ind w:left="720" w:hanging="360"/>
        <w:rPr>
          <w:rFonts w:ascii="Arial" w:cs="Arial" w:eastAsia="Arial" w:hAnsi="Arial"/>
          <w:color w:val="333333"/>
        </w:rPr>
      </w:pPr>
      <w:r w:rsidDel="00000000" w:rsidR="00000000" w:rsidRPr="00000000">
        <w:rPr>
          <w:rFonts w:ascii="Verdana" w:cs="Verdana" w:eastAsia="Verdana" w:hAnsi="Verdana"/>
          <w:color w:val="333333"/>
          <w:sz w:val="20"/>
          <w:szCs w:val="20"/>
          <w:rtl w:val="0"/>
        </w:rPr>
        <w:t xml:space="preserve">JCQ Appeals Booklet</w:t>
      </w:r>
      <w:r w:rsidDel="00000000" w:rsidR="00000000" w:rsidRPr="00000000">
        <w:rPr>
          <w:rtl w:val="0"/>
        </w:rPr>
      </w:r>
    </w:p>
    <w:p w:rsidR="00000000" w:rsidDel="00000000" w:rsidP="00000000" w:rsidRDefault="00000000" w:rsidRPr="00000000" w14:paraId="00000092">
      <w:pPr>
        <w:spacing w:after="0" w:lineRule="auto"/>
        <w:ind w:left="720" w:firstLine="0"/>
        <w:rPr>
          <w:rFonts w:ascii="Verdana" w:cs="Verdana" w:eastAsia="Verdana" w:hAnsi="Verdana"/>
          <w:color w:val="1155cc"/>
          <w:sz w:val="20"/>
          <w:szCs w:val="20"/>
          <w:u w:val="single"/>
        </w:rPr>
      </w:pPr>
      <w:hyperlink r:id="rId13">
        <w:r w:rsidDel="00000000" w:rsidR="00000000" w:rsidRPr="00000000">
          <w:rPr>
            <w:rFonts w:ascii="Verdana" w:cs="Verdana" w:eastAsia="Verdana" w:hAnsi="Verdana"/>
            <w:color w:val="1155cc"/>
            <w:sz w:val="20"/>
            <w:szCs w:val="20"/>
            <w:u w:val="single"/>
            <w:rtl w:val="0"/>
          </w:rPr>
          <w:t xml:space="preserve">https://www.jcq.org.uk/exams-office/appeals</w:t>
        </w:r>
      </w:hyperlink>
      <w:r w:rsidDel="00000000" w:rsidR="00000000" w:rsidRPr="00000000">
        <w:rPr>
          <w:rtl w:val="0"/>
        </w:rPr>
      </w:r>
    </w:p>
    <w:p w:rsidR="00000000" w:rsidDel="00000000" w:rsidP="00000000" w:rsidRDefault="00000000" w:rsidRPr="00000000" w14:paraId="00000093">
      <w:pPr>
        <w:numPr>
          <w:ilvl w:val="0"/>
          <w:numId w:val="6"/>
        </w:numPr>
        <w:spacing w:after="240" w:lineRule="auto"/>
        <w:ind w:left="720" w:hanging="360"/>
        <w:rPr>
          <w:rFonts w:ascii="Arial" w:cs="Arial" w:eastAsia="Arial" w:hAnsi="Arial"/>
          <w:color w:val="333333"/>
        </w:rPr>
      </w:pPr>
      <w:r w:rsidDel="00000000" w:rsidR="00000000" w:rsidRPr="00000000">
        <w:rPr>
          <w:rFonts w:ascii="Verdana" w:cs="Verdana" w:eastAsia="Verdana" w:hAnsi="Verdana"/>
          <w:color w:val="333333"/>
          <w:sz w:val="20"/>
          <w:szCs w:val="20"/>
          <w:rtl w:val="0"/>
        </w:rPr>
        <w:t xml:space="preserve">Notice to Centres – informing candidates of their centre assessed marks</w:t>
      </w:r>
      <w:hyperlink r:id="rId14">
        <w:r w:rsidDel="00000000" w:rsidR="00000000" w:rsidRPr="00000000">
          <w:rPr>
            <w:rFonts w:ascii="Verdana" w:cs="Verdana" w:eastAsia="Verdana" w:hAnsi="Verdana"/>
            <w:color w:val="333333"/>
            <w:sz w:val="20"/>
            <w:szCs w:val="20"/>
            <w:rtl w:val="0"/>
          </w:rPr>
          <w:t xml:space="preserve"> </w:t>
        </w:r>
      </w:hyperlink>
      <w:hyperlink r:id="rId15">
        <w:r w:rsidDel="00000000" w:rsidR="00000000" w:rsidRPr="00000000">
          <w:rPr>
            <w:rFonts w:ascii="Verdana" w:cs="Verdana" w:eastAsia="Verdana" w:hAnsi="Verdana"/>
            <w:color w:val="1155cc"/>
            <w:sz w:val="20"/>
            <w:szCs w:val="20"/>
            <w:u w:val="single"/>
            <w:rtl w:val="0"/>
          </w:rPr>
          <w:t xml:space="preserve">https://www.jcq.org.uk/exams-office/non-examination-assessments</w:t>
        </w:r>
      </w:hyperlink>
      <w:r w:rsidDel="00000000" w:rsidR="00000000" w:rsidRPr="00000000">
        <w:rPr>
          <w:rtl w:val="0"/>
        </w:rPr>
      </w:r>
    </w:p>
    <w:p w:rsidR="00000000" w:rsidDel="00000000" w:rsidP="00000000" w:rsidRDefault="00000000" w:rsidRPr="00000000" w14:paraId="00000094">
      <w:pPr>
        <w:spacing w:after="120" w:before="120" w:lineRule="auto"/>
        <w:rPr>
          <w:rFonts w:ascii="Arial" w:cs="Arial" w:eastAsia="Arial" w:hAnsi="Arial"/>
          <w:b w:val="1"/>
          <w:color w:val="333333"/>
        </w:rPr>
      </w:pPr>
      <w:r w:rsidDel="00000000" w:rsidR="00000000" w:rsidRPr="00000000">
        <w:rPr>
          <w:rFonts w:ascii="Arial" w:cs="Arial" w:eastAsia="Arial" w:hAnsi="Arial"/>
          <w:b w:val="1"/>
          <w:color w:val="333333"/>
          <w:rtl w:val="0"/>
        </w:rPr>
        <w:t xml:space="preserve">Ofqual publications</w:t>
      </w:r>
    </w:p>
    <w:p w:rsidR="00000000" w:rsidDel="00000000" w:rsidP="00000000" w:rsidRDefault="00000000" w:rsidRPr="00000000" w14:paraId="00000095">
      <w:pPr>
        <w:numPr>
          <w:ilvl w:val="0"/>
          <w:numId w:val="8"/>
        </w:numPr>
        <w:spacing w:after="240" w:lineRule="auto"/>
        <w:ind w:left="720" w:hanging="360"/>
        <w:rPr>
          <w:rFonts w:ascii="Arial" w:cs="Arial" w:eastAsia="Arial" w:hAnsi="Arial"/>
          <w:color w:val="333333"/>
        </w:rPr>
      </w:pPr>
      <w:r w:rsidDel="00000000" w:rsidR="00000000" w:rsidRPr="00000000">
        <w:rPr>
          <w:rFonts w:ascii="Verdana" w:cs="Verdana" w:eastAsia="Verdana" w:hAnsi="Verdana"/>
          <w:color w:val="333333"/>
          <w:sz w:val="20"/>
          <w:szCs w:val="20"/>
          <w:rtl w:val="0"/>
        </w:rPr>
        <w:t xml:space="preserve">GCSE (9 to 1) qualification-level conditions and requirements</w:t>
      </w:r>
      <w:hyperlink r:id="rId16">
        <w:r w:rsidDel="00000000" w:rsidR="00000000" w:rsidRPr="00000000">
          <w:rPr>
            <w:rFonts w:ascii="Verdana" w:cs="Verdana" w:eastAsia="Verdana" w:hAnsi="Verdana"/>
            <w:color w:val="333333"/>
            <w:sz w:val="20"/>
            <w:szCs w:val="20"/>
            <w:rtl w:val="0"/>
          </w:rPr>
          <w:t xml:space="preserve"> </w:t>
        </w:r>
      </w:hyperlink>
      <w:hyperlink r:id="rId17">
        <w:r w:rsidDel="00000000" w:rsidR="00000000" w:rsidRPr="00000000">
          <w:rPr>
            <w:rFonts w:ascii="Verdana" w:cs="Verdana" w:eastAsia="Verdana" w:hAnsi="Verdana"/>
            <w:color w:val="1155cc"/>
            <w:sz w:val="20"/>
            <w:szCs w:val="20"/>
            <w:u w:val="single"/>
            <w:rtl w:val="0"/>
          </w:rPr>
          <w:t xml:space="preserve">https://www.gov.uk/government/publications/gcse-9-to-1-qualification-level-conditions</w:t>
        </w:r>
      </w:hyperlink>
      <w:r w:rsidDel="00000000" w:rsidR="00000000" w:rsidRPr="00000000">
        <w:rPr>
          <w:rFonts w:ascii="Verdana" w:cs="Verdana" w:eastAsia="Verdana" w:hAnsi="Verdana"/>
          <w:color w:val="333333"/>
          <w:sz w:val="20"/>
          <w:szCs w:val="20"/>
          <w:rtl w:val="0"/>
        </w:rPr>
        <w:t xml:space="preserve"> </w:t>
      </w:r>
      <w:r w:rsidDel="00000000" w:rsidR="00000000" w:rsidRPr="00000000">
        <w:rPr>
          <w:rFonts w:ascii="Verdana" w:cs="Verdana" w:eastAsia="Verdana" w:hAnsi="Verdana"/>
          <w:color w:val="0000ff"/>
          <w:sz w:val="20"/>
          <w:szCs w:val="20"/>
          <w:rtl w:val="0"/>
        </w:rPr>
        <w:t xml:space="preserve">  </w:t>
      </w:r>
      <w:r w:rsidDel="00000000" w:rsidR="00000000" w:rsidRPr="00000000">
        <w:rPr>
          <w:rtl w:val="0"/>
        </w:rPr>
      </w:r>
    </w:p>
    <w:p w:rsidR="00000000" w:rsidDel="00000000" w:rsidP="00000000" w:rsidRDefault="00000000" w:rsidRPr="00000000" w14:paraId="00000096">
      <w:pPr>
        <w:spacing w:after="120" w:lineRule="auto"/>
        <w:ind w:left="1080" w:hanging="360"/>
        <w:rPr>
          <w:rFonts w:ascii="Arial" w:cs="Arial" w:eastAsia="Arial" w:hAnsi="Arial"/>
          <w:color w:val="0000ff"/>
          <w:sz w:val="24"/>
          <w:szCs w:val="24"/>
        </w:rPr>
      </w:pPr>
      <w:r w:rsidDel="00000000" w:rsidR="00000000" w:rsidRPr="00000000">
        <w:rPr>
          <w:rFonts w:ascii="Arial" w:cs="Arial" w:eastAsia="Arial" w:hAnsi="Arial"/>
          <w:color w:val="003399"/>
          <w:rtl w:val="0"/>
        </w:rPr>
        <w:t xml:space="preserve">·</w:t>
      </w:r>
      <w:r w:rsidDel="00000000" w:rsidR="00000000" w:rsidRPr="00000000">
        <w:rPr>
          <w:rFonts w:ascii="Times New Roman" w:cs="Times New Roman" w:eastAsia="Times New Roman" w:hAnsi="Times New Roman"/>
          <w:color w:val="003399"/>
          <w:sz w:val="14"/>
          <w:szCs w:val="14"/>
          <w:rtl w:val="0"/>
        </w:rPr>
        <w:t xml:space="preserve">         </w:t>
      </w:r>
      <w:r w:rsidDel="00000000" w:rsidR="00000000" w:rsidRPr="00000000">
        <w:rPr>
          <w:rFonts w:ascii="Verdana" w:cs="Verdana" w:eastAsia="Verdana" w:hAnsi="Verdana"/>
          <w:color w:val="333333"/>
          <w:sz w:val="20"/>
          <w:szCs w:val="20"/>
          <w:rtl w:val="0"/>
        </w:rPr>
        <w:t xml:space="preserve">GCE qualification-level conditions and requirements</w:t>
      </w:r>
      <w:hyperlink r:id="rId18">
        <w:r w:rsidDel="00000000" w:rsidR="00000000" w:rsidRPr="00000000">
          <w:rPr>
            <w:rFonts w:ascii="Verdana" w:cs="Verdana" w:eastAsia="Verdana" w:hAnsi="Verdana"/>
            <w:color w:val="333333"/>
            <w:sz w:val="20"/>
            <w:szCs w:val="20"/>
            <w:rtl w:val="0"/>
          </w:rPr>
          <w:t xml:space="preserve"> </w:t>
        </w:r>
      </w:hyperlink>
      <w:hyperlink r:id="rId19">
        <w:r w:rsidDel="00000000" w:rsidR="00000000" w:rsidRPr="00000000">
          <w:rPr>
            <w:rFonts w:ascii="Verdana" w:cs="Verdana" w:eastAsia="Verdana" w:hAnsi="Verdana"/>
            <w:color w:val="1155cc"/>
            <w:sz w:val="20"/>
            <w:szCs w:val="20"/>
            <w:u w:val="single"/>
            <w:rtl w:val="0"/>
          </w:rPr>
          <w:t xml:space="preserve">https://www.gov.uk/government/publications/gce-qualification-level-conditions-and-requirements</w:t>
        </w:r>
      </w:hyperlink>
      <w:r w:rsidDel="00000000" w:rsidR="00000000" w:rsidRPr="00000000">
        <w:rPr>
          <w:rFonts w:ascii="Arial" w:cs="Arial" w:eastAsia="Arial" w:hAnsi="Arial"/>
          <w:color w:val="333333"/>
          <w:rtl w:val="0"/>
        </w:rPr>
        <w:t xml:space="preserve"> </w:t>
      </w:r>
      <w:r w:rsidDel="00000000" w:rsidR="00000000" w:rsidRPr="00000000">
        <w:rPr>
          <w:rFonts w:ascii="Arial" w:cs="Arial" w:eastAsia="Arial" w:hAnsi="Arial"/>
          <w:color w:val="333333"/>
          <w:sz w:val="24"/>
          <w:szCs w:val="24"/>
          <w:rtl w:val="0"/>
        </w:rPr>
        <w:t xml:space="preserve"> </w:t>
      </w:r>
      <w:r w:rsidDel="00000000" w:rsidR="00000000" w:rsidRPr="00000000">
        <w:rPr>
          <w:rFonts w:ascii="Arial" w:cs="Arial" w:eastAsia="Arial" w:hAnsi="Arial"/>
          <w:color w:val="0000ff"/>
          <w:sz w:val="24"/>
          <w:szCs w:val="24"/>
          <w:rtl w:val="0"/>
        </w:rPr>
        <w:t xml:space="preserve">   </w:t>
      </w:r>
    </w:p>
    <w:p w:rsidR="00000000" w:rsidDel="00000000" w:rsidP="00000000" w:rsidRDefault="00000000" w:rsidRPr="00000000" w14:paraId="00000097">
      <w:pPr>
        <w:rPr>
          <w:rFonts w:ascii="Arial" w:cs="Arial" w:eastAsia="Arial" w:hAnsi="Arial"/>
          <w:sz w:val="24"/>
          <w:szCs w:val="24"/>
        </w:rPr>
      </w:pPr>
      <w:r w:rsidDel="00000000" w:rsidR="00000000" w:rsidRPr="00000000">
        <w:rPr>
          <w:rtl w:val="0"/>
        </w:rPr>
      </w:r>
    </w:p>
    <w:sectPr>
      <w:headerReference r:id="rId20" w:type="first"/>
      <w:footerReference r:id="rId21" w:type="default"/>
      <w:footerReference r:id="rId22" w:type="first"/>
      <w:pgSz w:h="16838" w:w="11906" w:orient="portrait"/>
      <w:pgMar w:bottom="567" w:top="567" w:left="720" w:right="720" w:header="567" w:footer="3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Times New Roman"/>
  <w:font w:name="Verdan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9">
    <w:pPr>
      <w:rPr/>
    </w:pPr>
    <w:r w:rsidDel="00000000" w:rsidR="00000000" w:rsidRPr="00000000">
      <w:rPr>
        <w:rtl w:val="0"/>
      </w:rPr>
      <w:t xml:space="preserve">Internal Appeals Procedure - Exams  Page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Internal Appeals Procedure - Exams </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7f7f7f"/>
        <w:sz w:val="18"/>
        <w:szCs w:val="18"/>
        <w:u w:val="none"/>
        <w:shd w:fill="auto" w:val="clear"/>
        <w:vertAlign w:val="baseline"/>
        <w:rtl w:val="0"/>
      </w:rPr>
      <w:t xml:space="preserve">Page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 </w:t>
    </w:r>
    <w:r w:rsidDel="00000000" w:rsidR="00000000" w:rsidRPr="00000000">
      <w:rPr>
        <w:rFonts w:ascii="Arial" w:cs="Arial" w:eastAsia="Arial" w:hAnsi="Arial"/>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1080" w:hanging="360"/>
      </w:pPr>
      <w:rPr>
        <w:rFonts w:ascii="Noto Sans" w:cs="Noto Sans" w:eastAsia="Noto Sans" w:hAnsi="Noto Sans"/>
        <w:sz w:val="28"/>
        <w:szCs w:val="28"/>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w:cs="Noto Sans" w:eastAsia="Noto Sans" w:hAnsi="Noto Sans"/>
        <w:color w:val="00206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b w:val="1"/>
      <w:sz w:val="24"/>
      <w:szCs w:val="24"/>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b w:val="1"/>
      <w:sz w:val="24"/>
      <w:szCs w:val="24"/>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b w:val="1"/>
      <w:sz w:val="24"/>
      <w:szCs w:val="24"/>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b w:val="1"/>
      <w:sz w:val="24"/>
      <w:szCs w:val="24"/>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F62A3"/>
  </w:style>
  <w:style w:type="paragraph" w:styleId="Heading1">
    <w:name w:val="heading 1"/>
    <w:basedOn w:val="Normal"/>
    <w:next w:val="Normal"/>
    <w:link w:val="Heading1Char"/>
    <w:qFormat w:val="1"/>
    <w:rsid w:val="00331254"/>
    <w:pPr>
      <w:keepNext w:val="1"/>
      <w:spacing w:after="0" w:line="240" w:lineRule="auto"/>
      <w:outlineLvl w:val="0"/>
    </w:pPr>
    <w:rPr>
      <w:rFonts w:ascii="Arial" w:cs="Arial" w:eastAsia="Times New Roman" w:hAnsi="Arial"/>
      <w:b w:val="1"/>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inglevel2" w:customStyle="1">
    <w:name w:val="Heading level 2"/>
    <w:basedOn w:val="Normal"/>
    <w:qFormat w:val="1"/>
    <w:rsid w:val="003D78DD"/>
    <w:pPr>
      <w:keepNext w:val="1"/>
      <w:spacing w:after="240" w:before="480" w:line="240" w:lineRule="auto"/>
      <w:outlineLvl w:val="1"/>
    </w:pPr>
    <w:rPr>
      <w:rFonts w:ascii="Arial" w:cs="Times New Roman" w:eastAsia="Times New Roman" w:hAnsi="Arial"/>
      <w:b w:val="1"/>
      <w:color w:val="ff3300"/>
      <w:sz w:val="24"/>
      <w:szCs w:val="24"/>
    </w:rPr>
  </w:style>
  <w:style w:type="paragraph" w:styleId="ListParagraph">
    <w:name w:val="List Paragraph"/>
    <w:basedOn w:val="Normal"/>
    <w:uiPriority w:val="34"/>
    <w:qFormat w:val="1"/>
    <w:rsid w:val="003D78DD"/>
    <w:pPr>
      <w:ind w:left="720"/>
      <w:contextualSpacing w:val="1"/>
    </w:pPr>
  </w:style>
  <w:style w:type="paragraph" w:styleId="Headinglevel1" w:customStyle="1">
    <w:name w:val="Heading level 1"/>
    <w:basedOn w:val="Normal"/>
    <w:qFormat w:val="1"/>
    <w:rsid w:val="00EE7787"/>
    <w:pPr>
      <w:spacing w:after="240" w:line="240" w:lineRule="auto"/>
      <w:outlineLvl w:val="0"/>
    </w:pPr>
    <w:rPr>
      <w:rFonts w:ascii="Arial" w:cs="Times New Roman" w:eastAsia="Times New Roman" w:hAnsi="Arial"/>
      <w:b w:val="1"/>
      <w:color w:val="003399"/>
      <w:sz w:val="28"/>
      <w:szCs w:val="28"/>
    </w:rPr>
  </w:style>
  <w:style w:type="paragraph" w:styleId="Footer">
    <w:name w:val="footer"/>
    <w:basedOn w:val="Normal"/>
    <w:link w:val="FooterChar"/>
    <w:uiPriority w:val="99"/>
    <w:unhideWhenUsed w:val="1"/>
    <w:rsid w:val="00EE7787"/>
    <w:pPr>
      <w:tabs>
        <w:tab w:val="center" w:pos="4513"/>
        <w:tab w:val="right" w:pos="9026"/>
      </w:tabs>
      <w:spacing w:after="0" w:line="240" w:lineRule="auto"/>
    </w:pPr>
  </w:style>
  <w:style w:type="character" w:styleId="FooterChar" w:customStyle="1">
    <w:name w:val="Footer Char"/>
    <w:basedOn w:val="DefaultParagraphFont"/>
    <w:link w:val="Footer"/>
    <w:uiPriority w:val="99"/>
    <w:rsid w:val="00EE7787"/>
  </w:style>
  <w:style w:type="table" w:styleId="TableGrid">
    <w:name w:val="Table Grid"/>
    <w:basedOn w:val="TableNormal"/>
    <w:uiPriority w:val="59"/>
    <w:rsid w:val="00EE7787"/>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Header">
    <w:name w:val="header"/>
    <w:basedOn w:val="Normal"/>
    <w:link w:val="HeaderChar"/>
    <w:uiPriority w:val="99"/>
    <w:unhideWhenUsed w:val="1"/>
    <w:rsid w:val="00B23747"/>
    <w:pPr>
      <w:tabs>
        <w:tab w:val="center" w:pos="4513"/>
        <w:tab w:val="right" w:pos="9026"/>
      </w:tabs>
      <w:spacing w:after="0" w:line="240" w:lineRule="auto"/>
    </w:pPr>
  </w:style>
  <w:style w:type="character" w:styleId="HeaderChar" w:customStyle="1">
    <w:name w:val="Header Char"/>
    <w:basedOn w:val="DefaultParagraphFont"/>
    <w:link w:val="Header"/>
    <w:uiPriority w:val="99"/>
    <w:rsid w:val="00B23747"/>
  </w:style>
  <w:style w:type="paragraph" w:styleId="NoSpacing">
    <w:name w:val="No Spacing"/>
    <w:link w:val="NoSpacingChar"/>
    <w:uiPriority w:val="1"/>
    <w:qFormat w:val="1"/>
    <w:rsid w:val="00A35C57"/>
    <w:pPr>
      <w:spacing w:after="0" w:line="240" w:lineRule="auto"/>
    </w:pPr>
  </w:style>
  <w:style w:type="paragraph" w:styleId="BalloonText">
    <w:name w:val="Balloon Text"/>
    <w:basedOn w:val="Normal"/>
    <w:link w:val="BalloonTextChar"/>
    <w:uiPriority w:val="99"/>
    <w:semiHidden w:val="1"/>
    <w:unhideWhenUsed w:val="1"/>
    <w:rsid w:val="00A35C57"/>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A35C57"/>
    <w:rPr>
      <w:rFonts w:ascii="Tahoma" w:cs="Tahoma" w:hAnsi="Tahoma"/>
      <w:sz w:val="16"/>
      <w:szCs w:val="16"/>
    </w:rPr>
  </w:style>
  <w:style w:type="paragraph" w:styleId="Pa15" w:customStyle="1">
    <w:name w:val="Pa15"/>
    <w:basedOn w:val="Normal"/>
    <w:next w:val="Normal"/>
    <w:uiPriority w:val="99"/>
    <w:rsid w:val="002B169B"/>
    <w:pPr>
      <w:autoSpaceDE w:val="0"/>
      <w:autoSpaceDN w:val="0"/>
      <w:adjustRightInd w:val="0"/>
      <w:spacing w:after="0" w:line="241" w:lineRule="atLeast"/>
    </w:pPr>
    <w:rPr>
      <w:rFonts w:ascii="Adobe Garamond Pro" w:hAnsi="Adobe Garamond Pro" w:eastAsiaTheme="minorHAnsi"/>
      <w:sz w:val="24"/>
      <w:szCs w:val="24"/>
      <w:lang w:eastAsia="en-US"/>
    </w:rPr>
  </w:style>
  <w:style w:type="paragraph" w:styleId="Pa10" w:customStyle="1">
    <w:name w:val="Pa10"/>
    <w:basedOn w:val="Normal"/>
    <w:next w:val="Normal"/>
    <w:uiPriority w:val="99"/>
    <w:rsid w:val="002B169B"/>
    <w:pPr>
      <w:autoSpaceDE w:val="0"/>
      <w:autoSpaceDN w:val="0"/>
      <w:adjustRightInd w:val="0"/>
      <w:spacing w:after="0" w:line="241" w:lineRule="atLeast"/>
    </w:pPr>
    <w:rPr>
      <w:rFonts w:ascii="Adobe Garamond Pro" w:hAnsi="Adobe Garamond Pro" w:eastAsiaTheme="minorHAnsi"/>
      <w:sz w:val="24"/>
      <w:szCs w:val="24"/>
      <w:lang w:eastAsia="en-US"/>
    </w:rPr>
  </w:style>
  <w:style w:type="paragraph" w:styleId="Default" w:customStyle="1">
    <w:name w:val="Default"/>
    <w:rsid w:val="002B169B"/>
    <w:pPr>
      <w:autoSpaceDE w:val="0"/>
      <w:autoSpaceDN w:val="0"/>
      <w:adjustRightInd w:val="0"/>
      <w:spacing w:after="0" w:line="240" w:lineRule="auto"/>
    </w:pPr>
    <w:rPr>
      <w:rFonts w:ascii="Tahoma" w:cs="Tahoma" w:hAnsi="Tahoma" w:eastAsiaTheme="minorHAnsi"/>
      <w:color w:val="000000"/>
      <w:sz w:val="24"/>
      <w:szCs w:val="24"/>
      <w:lang w:eastAsia="en-US"/>
    </w:rPr>
  </w:style>
  <w:style w:type="character" w:styleId="Hyperlink">
    <w:name w:val="Hyperlink"/>
    <w:basedOn w:val="DefaultParagraphFont"/>
    <w:uiPriority w:val="99"/>
    <w:unhideWhenUsed w:val="1"/>
    <w:rsid w:val="00E27453"/>
    <w:rPr>
      <w:color w:val="0000ff" w:themeColor="hyperlink"/>
      <w:u w:val="single"/>
    </w:rPr>
  </w:style>
  <w:style w:type="character" w:styleId="A6" w:customStyle="1">
    <w:name w:val="A6"/>
    <w:uiPriority w:val="99"/>
    <w:rsid w:val="00E27453"/>
    <w:rPr>
      <w:rFonts w:cs="Adobe Garamond Pro"/>
      <w:color w:val="000000"/>
    </w:rPr>
  </w:style>
  <w:style w:type="paragraph" w:styleId="Pa12" w:customStyle="1">
    <w:name w:val="Pa12"/>
    <w:basedOn w:val="Default"/>
    <w:next w:val="Default"/>
    <w:uiPriority w:val="99"/>
    <w:rsid w:val="00E27453"/>
    <w:pPr>
      <w:spacing w:line="241" w:lineRule="atLeast"/>
    </w:pPr>
    <w:rPr>
      <w:rFonts w:ascii="Adobe Garamond Pro" w:hAnsi="Adobe Garamond Pro" w:cstheme="minorBidi"/>
      <w:color w:val="auto"/>
    </w:rPr>
  </w:style>
  <w:style w:type="character" w:styleId="A7" w:customStyle="1">
    <w:name w:val="A7"/>
    <w:uiPriority w:val="99"/>
    <w:rsid w:val="00E27453"/>
    <w:rPr>
      <w:rFonts w:cs="Adobe Garamond Pro"/>
      <w:color w:val="000000"/>
      <w:sz w:val="12"/>
      <w:szCs w:val="12"/>
    </w:rPr>
  </w:style>
  <w:style w:type="character" w:styleId="Heading1Char" w:customStyle="1">
    <w:name w:val="Heading 1 Char"/>
    <w:basedOn w:val="DefaultParagraphFont"/>
    <w:link w:val="Heading1"/>
    <w:rsid w:val="00331254"/>
    <w:rPr>
      <w:rFonts w:ascii="Arial" w:cs="Arial" w:eastAsia="Times New Roman" w:hAnsi="Arial"/>
      <w:b w:val="1"/>
      <w:sz w:val="24"/>
      <w:szCs w:val="24"/>
    </w:rPr>
  </w:style>
  <w:style w:type="character" w:styleId="FollowedHyperlink">
    <w:name w:val="FollowedHyperlink"/>
    <w:basedOn w:val="DefaultParagraphFont"/>
    <w:uiPriority w:val="99"/>
    <w:semiHidden w:val="1"/>
    <w:unhideWhenUsed w:val="1"/>
    <w:rsid w:val="00A045AE"/>
    <w:rPr>
      <w:color w:val="800080" w:themeColor="followedHyperlink"/>
      <w:u w:val="single"/>
    </w:rPr>
  </w:style>
  <w:style w:type="character" w:styleId="NoSpacingChar" w:customStyle="1">
    <w:name w:val="No Spacing Char"/>
    <w:basedOn w:val="DefaultParagraphFont"/>
    <w:link w:val="NoSpacing"/>
    <w:uiPriority w:val="1"/>
    <w:rsid w:val="00593745"/>
  </w:style>
  <w:style w:type="paragraph" w:styleId="Title1" w:customStyle="1">
    <w:name w:val="Title 1"/>
    <w:basedOn w:val="Heading1"/>
    <w:link w:val="Title1Char"/>
    <w:autoRedefine w:val="1"/>
    <w:qFormat w:val="1"/>
    <w:rsid w:val="00876CF9"/>
    <w:pPr>
      <w:keepLines w:val="1"/>
      <w:spacing w:after="120" w:before="480"/>
    </w:pPr>
    <w:rPr>
      <w:rFonts w:cs="Times New Roman" w:eastAsia="MS Gothic"/>
      <w:bCs w:val="1"/>
      <w:sz w:val="56"/>
      <w:szCs w:val="32"/>
      <w:lang w:eastAsia="en-US" w:val="en-US"/>
    </w:rPr>
  </w:style>
  <w:style w:type="character" w:styleId="Title1Char" w:customStyle="1">
    <w:name w:val="Title 1 Char"/>
    <w:link w:val="Title1"/>
    <w:rsid w:val="00876CF9"/>
    <w:rPr>
      <w:rFonts w:ascii="Arial" w:cs="Times New Roman" w:eastAsia="MS Gothic" w:hAnsi="Arial"/>
      <w:b w:val="1"/>
      <w:bCs w:val="1"/>
      <w:sz w:val="56"/>
      <w:szCs w:val="32"/>
      <w:lang w:eastAsia="en-US"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7.0" w:type="dxa"/>
        <w:left w:w="57.0" w:type="dxa"/>
        <w:bottom w:w="57.0" w:type="dxa"/>
        <w:right w:w="8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57.0" w:type="dxa"/>
        <w:left w:w="57.0" w:type="dxa"/>
        <w:bottom w:w="57.0" w:type="dxa"/>
        <w:right w:w="8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57.0" w:type="dxa"/>
        <w:left w:w="57.0" w:type="dxa"/>
        <w:bottom w:w="57.0" w:type="dxa"/>
        <w:right w:w="8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57.0" w:type="dxa"/>
        <w:left w:w="57.0" w:type="dxa"/>
        <w:bottom w:w="57.0" w:type="dxa"/>
        <w:right w:w="8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www.jcq.org.uk/exams-office/general-regulations" TargetMode="External"/><Relationship Id="rId22" Type="http://schemas.openxmlformats.org/officeDocument/2006/relationships/footer" Target="footer2.xml"/><Relationship Id="rId10" Type="http://schemas.openxmlformats.org/officeDocument/2006/relationships/hyperlink" Target="http://www.jcq.org.uk/exams-office/appeals" TargetMode="External"/><Relationship Id="rId21" Type="http://schemas.openxmlformats.org/officeDocument/2006/relationships/footer" Target="footer1.xml"/><Relationship Id="rId13" Type="http://schemas.openxmlformats.org/officeDocument/2006/relationships/hyperlink" Target="https://www.jcq.org.uk/exams-office/appeals" TargetMode="External"/><Relationship Id="rId12" Type="http://schemas.openxmlformats.org/officeDocument/2006/relationships/hyperlink" Target="https://www.jcq.org.uk/exams-office/post-results-servic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jcq.org.uk/exams-office/post-results-services" TargetMode="External"/><Relationship Id="rId15" Type="http://schemas.openxmlformats.org/officeDocument/2006/relationships/hyperlink" Target="https://www.jcq.org.uk/exams-office/non-examination-assessments" TargetMode="External"/><Relationship Id="rId14" Type="http://schemas.openxmlformats.org/officeDocument/2006/relationships/hyperlink" Target="https://www.jcq.org.uk/exams-office/non-examination-assessments" TargetMode="External"/><Relationship Id="rId17" Type="http://schemas.openxmlformats.org/officeDocument/2006/relationships/hyperlink" Target="https://www.gov.uk/government/publications/gcse-9-to-1-qualification-level-conditions" TargetMode="External"/><Relationship Id="rId16" Type="http://schemas.openxmlformats.org/officeDocument/2006/relationships/hyperlink" Target="https://www.gov.uk/government/publications/gcse-9-to-1-qualification-level-conditions" TargetMode="External"/><Relationship Id="rId5" Type="http://schemas.openxmlformats.org/officeDocument/2006/relationships/styles" Target="styles.xml"/><Relationship Id="rId19" Type="http://schemas.openxmlformats.org/officeDocument/2006/relationships/hyperlink" Target="https://www.gov.uk/government/publications/gce-qualification-level-conditions-and-requirements" TargetMode="External"/><Relationship Id="rId6" Type="http://schemas.openxmlformats.org/officeDocument/2006/relationships/customXml" Target="../customXML/item1.xml"/><Relationship Id="rId18" Type="http://schemas.openxmlformats.org/officeDocument/2006/relationships/hyperlink" Target="https://www.gov.uk/government/publications/gce-qualification-level-conditions-and-requirements" TargetMode="External"/><Relationship Id="rId7" Type="http://schemas.openxmlformats.org/officeDocument/2006/relationships/image" Target="media/image1.png"/><Relationship Id="rId8" Type="http://schemas.openxmlformats.org/officeDocument/2006/relationships/hyperlink" Target="http://www.jcq.org.uk/exams-office/post-results-servic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cm9NXUZPSTgSdSQOEB6RFn4pOw==">AMUW2mVJo+4EBrdZeVaONliz/hEQxM99xPsyWDgkEJ9URVGCVEmp1m4EU+M6pLv6UEKZfK1pnnImNNWKZmEMi56bmzsLCqK1hJwMBeuPnXbzuxDpHsbeweI=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2019-04-03T12:29:00Z</dcterms:created>
  <dc:creator>localuser</dc:creator>
</cp:coreProperties>
</file>