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58A" w:rsidRDefault="00364AD5">
      <w:pPr>
        <w:spacing w:after="0" w:line="259" w:lineRule="auto"/>
        <w:ind w:left="0" w:firstLine="0"/>
        <w:jc w:val="center"/>
      </w:pPr>
      <w:r>
        <w:rPr>
          <w:b/>
          <w:sz w:val="48"/>
        </w:rPr>
        <w:t>Meadow High School</w:t>
      </w:r>
    </w:p>
    <w:p w:rsidR="0068158A" w:rsidRDefault="00364AD5">
      <w:pPr>
        <w:spacing w:after="598" w:line="259" w:lineRule="auto"/>
        <w:ind w:left="3484" w:firstLine="0"/>
      </w:pPr>
      <w:r>
        <w:rPr>
          <w:noProof/>
        </w:rPr>
        <w:drawing>
          <wp:inline distT="0" distB="0" distL="0" distR="0">
            <wp:extent cx="1691640" cy="170688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7"/>
                    <a:stretch>
                      <a:fillRect/>
                    </a:stretch>
                  </pic:blipFill>
                  <pic:spPr>
                    <a:xfrm>
                      <a:off x="0" y="0"/>
                      <a:ext cx="1691640" cy="1706880"/>
                    </a:xfrm>
                    <a:prstGeom prst="rect">
                      <a:avLst/>
                    </a:prstGeom>
                  </pic:spPr>
                </pic:pic>
              </a:graphicData>
            </a:graphic>
          </wp:inline>
        </w:drawing>
      </w:r>
    </w:p>
    <w:p w:rsidR="0068158A" w:rsidRDefault="00364AD5">
      <w:pPr>
        <w:spacing w:after="0" w:line="265" w:lineRule="auto"/>
        <w:jc w:val="center"/>
      </w:pPr>
      <w:r>
        <w:rPr>
          <w:b/>
          <w:sz w:val="56"/>
        </w:rPr>
        <w:t xml:space="preserve">Exams - </w:t>
      </w:r>
    </w:p>
    <w:p w:rsidR="0068158A" w:rsidRDefault="00364AD5">
      <w:pPr>
        <w:spacing w:after="0" w:line="259" w:lineRule="auto"/>
        <w:ind w:left="0" w:right="786" w:firstLine="0"/>
        <w:jc w:val="right"/>
      </w:pPr>
      <w:r>
        <w:rPr>
          <w:b/>
          <w:sz w:val="56"/>
        </w:rPr>
        <w:t xml:space="preserve">Non-Examination Assessment </w:t>
      </w:r>
    </w:p>
    <w:p w:rsidR="0068158A" w:rsidRDefault="003717B0">
      <w:pPr>
        <w:pStyle w:val="Heading1"/>
        <w:spacing w:after="878"/>
      </w:pPr>
      <w:r>
        <w:t>(NEA) Policy 2025</w:t>
      </w:r>
      <w:r w:rsidR="00364AD5">
        <w:t>-202</w:t>
      </w:r>
      <w:r>
        <w:t>6</w:t>
      </w:r>
    </w:p>
    <w:p w:rsidR="0068158A" w:rsidRDefault="00364AD5">
      <w:pPr>
        <w:spacing w:after="1848" w:line="259" w:lineRule="auto"/>
        <w:ind w:left="0" w:right="434" w:firstLine="0"/>
        <w:jc w:val="right"/>
      </w:pPr>
      <w:r>
        <w:rPr>
          <w:i/>
        </w:rPr>
        <w:t>This document is reviewed annually to ensure compliance with current regulations.</w:t>
      </w:r>
    </w:p>
    <w:p w:rsidR="0068158A" w:rsidRDefault="00364AD5">
      <w:pPr>
        <w:spacing w:after="108"/>
      </w:pPr>
      <w:r>
        <w:t>Policy Owner: Exams Department</w:t>
      </w:r>
    </w:p>
    <w:p w:rsidR="0068158A" w:rsidRDefault="003717B0">
      <w:pPr>
        <w:spacing w:after="108"/>
      </w:pPr>
      <w:r>
        <w:t>Last Review:   February 2026</w:t>
      </w:r>
    </w:p>
    <w:p w:rsidR="0068158A" w:rsidRDefault="003717B0">
      <w:r>
        <w:t>Next Review:   February 2027</w:t>
      </w:r>
    </w:p>
    <w:p w:rsidR="003717B0" w:rsidRDefault="003717B0">
      <w:pPr>
        <w:spacing w:after="264"/>
        <w:ind w:left="-5"/>
        <w:rPr>
          <w:b/>
        </w:rPr>
      </w:pPr>
    </w:p>
    <w:p w:rsidR="003717B0" w:rsidRDefault="003717B0">
      <w:pPr>
        <w:spacing w:after="264"/>
        <w:ind w:left="-5"/>
        <w:rPr>
          <w:b/>
        </w:rPr>
      </w:pPr>
    </w:p>
    <w:p w:rsidR="003717B0" w:rsidRDefault="003717B0">
      <w:pPr>
        <w:spacing w:after="264"/>
        <w:ind w:left="-5"/>
        <w:rPr>
          <w:b/>
        </w:rPr>
      </w:pPr>
    </w:p>
    <w:p w:rsidR="003717B0" w:rsidRDefault="003717B0">
      <w:pPr>
        <w:spacing w:after="264"/>
        <w:ind w:left="-5"/>
        <w:rPr>
          <w:b/>
        </w:rPr>
      </w:pPr>
    </w:p>
    <w:p w:rsidR="003717B0" w:rsidRDefault="003717B0">
      <w:pPr>
        <w:spacing w:after="264"/>
        <w:ind w:left="-5"/>
        <w:rPr>
          <w:b/>
        </w:rPr>
      </w:pPr>
    </w:p>
    <w:p w:rsidR="003717B0" w:rsidRDefault="003717B0">
      <w:pPr>
        <w:spacing w:after="264"/>
        <w:ind w:left="-5"/>
        <w:rPr>
          <w:b/>
        </w:rPr>
      </w:pPr>
    </w:p>
    <w:p w:rsidR="003717B0" w:rsidRDefault="003717B0">
      <w:pPr>
        <w:spacing w:after="264"/>
        <w:ind w:left="-5"/>
        <w:rPr>
          <w:b/>
        </w:rPr>
      </w:pPr>
    </w:p>
    <w:p w:rsidR="003717B0" w:rsidRDefault="003717B0">
      <w:pPr>
        <w:spacing w:after="264"/>
        <w:ind w:left="-5"/>
        <w:rPr>
          <w:b/>
        </w:rPr>
      </w:pPr>
    </w:p>
    <w:p w:rsidR="0068158A" w:rsidRDefault="00364AD5">
      <w:pPr>
        <w:spacing w:after="264"/>
        <w:ind w:left="-5"/>
      </w:pPr>
      <w:r>
        <w:rPr>
          <w:b/>
        </w:rPr>
        <w:lastRenderedPageBreak/>
        <w:t>What does this policy affect?</w:t>
      </w:r>
    </w:p>
    <w:p w:rsidR="0068158A" w:rsidRDefault="00364AD5">
      <w:pPr>
        <w:spacing w:after="266"/>
      </w:pPr>
      <w:r>
        <w:t>This policy affects the delivery of subjects of GCE and GCSE qualifications which contain a component(s) of non-examination assessment.</w:t>
      </w:r>
    </w:p>
    <w:p w:rsidR="0068158A" w:rsidRDefault="00364AD5">
      <w:pPr>
        <w:spacing w:after="21" w:line="344" w:lineRule="auto"/>
        <w:ind w:left="-5" w:right="6725"/>
      </w:pPr>
      <w:r>
        <w:rPr>
          <w:b/>
          <w:u w:val="single" w:color="000000"/>
        </w:rPr>
        <w:t xml:space="preserve">Purpose of the Policy </w:t>
      </w:r>
      <w:r>
        <w:t>This policy aims to:</w:t>
      </w:r>
    </w:p>
    <w:p w:rsidR="0068158A" w:rsidRDefault="00364AD5">
      <w:pPr>
        <w:numPr>
          <w:ilvl w:val="0"/>
          <w:numId w:val="1"/>
        </w:numPr>
        <w:ind w:hanging="360"/>
      </w:pPr>
      <w:r>
        <w:t>Cover procedures for planning and managing non-examination assessments</w:t>
      </w:r>
    </w:p>
    <w:p w:rsidR="0068158A" w:rsidRDefault="00364AD5">
      <w:pPr>
        <w:numPr>
          <w:ilvl w:val="0"/>
          <w:numId w:val="1"/>
        </w:numPr>
        <w:ind w:hanging="360"/>
      </w:pPr>
      <w:r>
        <w:t>Define staff roles and responsibilities with respect to non-examination assessments</w:t>
      </w:r>
    </w:p>
    <w:p w:rsidR="0068158A" w:rsidRDefault="00364AD5">
      <w:pPr>
        <w:numPr>
          <w:ilvl w:val="0"/>
          <w:numId w:val="1"/>
        </w:numPr>
        <w:spacing w:after="475"/>
        <w:ind w:hanging="360"/>
      </w:pPr>
      <w:r>
        <w:t>Manage risks associated with non-examination assessments</w:t>
      </w:r>
    </w:p>
    <w:p w:rsidR="0068158A" w:rsidRDefault="00364AD5">
      <w:pPr>
        <w:spacing w:after="98" w:line="259" w:lineRule="auto"/>
        <w:ind w:left="-5"/>
      </w:pPr>
      <w:r>
        <w:rPr>
          <w:b/>
          <w:u w:val="single" w:color="000000"/>
        </w:rPr>
        <w:t>What are non-examination assessments ?</w:t>
      </w:r>
    </w:p>
    <w:p w:rsidR="0068158A" w:rsidRDefault="00364AD5">
      <w:pPr>
        <w:spacing w:after="506"/>
      </w:pPr>
      <w:r>
        <w:t xml:space="preserve">Non-examination assessments measure subject-specific knowledge and skills that cannot be tested by timed written papers. </w:t>
      </w:r>
    </w:p>
    <w:p w:rsidR="0068158A" w:rsidRDefault="00364AD5">
      <w:pPr>
        <w:spacing w:after="98" w:line="259" w:lineRule="auto"/>
        <w:ind w:left="-5"/>
      </w:pPr>
      <w:r>
        <w:rPr>
          <w:b/>
          <w:u w:val="single" w:color="000000"/>
        </w:rPr>
        <w:t>Roles and responsibilities</w:t>
      </w:r>
      <w:r>
        <w:rPr>
          <w:b/>
        </w:rPr>
        <w:t xml:space="preserve"> </w:t>
      </w:r>
    </w:p>
    <w:p w:rsidR="0068158A" w:rsidRDefault="00364AD5">
      <w:pPr>
        <w:spacing w:after="386"/>
      </w:pPr>
      <w:r>
        <w:t>This section sets out the key responsibilities of staff in relation to non-examination assessments. For more detailed guidance on the requirements for conducting non</w:t>
      </w:r>
      <w:r w:rsidR="000A4625">
        <w:t xml:space="preserve"> </w:t>
      </w:r>
      <w:r>
        <w:t>examination assessments, staff should read the JCQ guidance referred to above.</w:t>
      </w:r>
    </w:p>
    <w:p w:rsidR="0068158A" w:rsidRDefault="00364AD5">
      <w:pPr>
        <w:pStyle w:val="Heading2"/>
        <w:spacing w:after="98" w:line="259" w:lineRule="auto"/>
        <w:ind w:left="-5"/>
      </w:pPr>
      <w:r>
        <w:rPr>
          <w:b w:val="0"/>
          <w:u w:val="single" w:color="000000"/>
        </w:rPr>
        <w:t>Head of Centre</w:t>
      </w:r>
    </w:p>
    <w:p w:rsidR="0068158A" w:rsidRDefault="00364AD5">
      <w:pPr>
        <w:spacing w:after="108"/>
      </w:pPr>
      <w:r>
        <w:t>In our school, the head of centre is the Headteacher.</w:t>
      </w:r>
    </w:p>
    <w:p w:rsidR="0068158A" w:rsidRDefault="00364AD5">
      <w:r>
        <w:t>The Head of Centre is responsible for:</w:t>
      </w:r>
    </w:p>
    <w:p w:rsidR="0068158A" w:rsidRDefault="00364AD5">
      <w:pPr>
        <w:numPr>
          <w:ilvl w:val="0"/>
          <w:numId w:val="2"/>
        </w:numPr>
        <w:ind w:hanging="360"/>
      </w:pPr>
      <w:r>
        <w:t>Returns an online Head of Centre Declaration at the time of the National Centre Number Register Annual Update to confirm awareness of and that relevant centre staff are adhering to the latest version of NEA.</w:t>
      </w:r>
    </w:p>
    <w:p w:rsidR="0068158A" w:rsidRDefault="00364AD5">
      <w:pPr>
        <w:numPr>
          <w:ilvl w:val="0"/>
          <w:numId w:val="2"/>
        </w:numPr>
        <w:ind w:hanging="360"/>
      </w:pPr>
      <w:r>
        <w:t>Ensuring that the centre’s non-examination assessment policy is fit for purpose</w:t>
      </w:r>
    </w:p>
    <w:p w:rsidR="0068158A" w:rsidRDefault="00364AD5">
      <w:pPr>
        <w:numPr>
          <w:ilvl w:val="0"/>
          <w:numId w:val="2"/>
        </w:numPr>
        <w:spacing w:after="386"/>
        <w:ind w:hanging="360"/>
      </w:pPr>
      <w:r>
        <w:t>Ensuring the centre’s internal appeals procedure clearly details the procedure to be followed by candidates (or their parents/carers) appealing against an internal assessment decision (centre assessed marks) and requesting a review of the Centre’s marking.</w:t>
      </w:r>
    </w:p>
    <w:p w:rsidR="0068158A" w:rsidRDefault="00364AD5">
      <w:pPr>
        <w:pStyle w:val="Heading2"/>
        <w:spacing w:after="98" w:line="259" w:lineRule="auto"/>
        <w:ind w:left="-5"/>
      </w:pPr>
      <w:r>
        <w:rPr>
          <w:b w:val="0"/>
          <w:u w:val="single" w:color="000000"/>
        </w:rPr>
        <w:t>Senior leaders</w:t>
      </w:r>
    </w:p>
    <w:p w:rsidR="0068158A" w:rsidRDefault="00364AD5">
      <w:r>
        <w:t>Senior leaders are responsible for:</w:t>
      </w:r>
    </w:p>
    <w:p w:rsidR="0068158A" w:rsidRDefault="00364AD5">
      <w:pPr>
        <w:spacing w:after="385"/>
        <w:ind w:left="629" w:hanging="360"/>
      </w:pPr>
      <w:r>
        <w:t>● Ensuring that non-examination assessments (including endorsements) comply with JCQ guidance and awarding body subject-specific instructions</w:t>
      </w:r>
    </w:p>
    <w:p w:rsidR="0068158A" w:rsidRDefault="00364AD5">
      <w:pPr>
        <w:pStyle w:val="Heading2"/>
        <w:spacing w:after="98" w:line="259" w:lineRule="auto"/>
        <w:ind w:left="-5"/>
      </w:pPr>
      <w:r>
        <w:rPr>
          <w:b w:val="0"/>
          <w:u w:val="single" w:color="000000"/>
        </w:rPr>
        <w:t>Subject leaders</w:t>
      </w:r>
    </w:p>
    <w:p w:rsidR="0068158A" w:rsidRDefault="00364AD5">
      <w:r>
        <w:t>Subject leaders are responsible for:</w:t>
      </w:r>
    </w:p>
    <w:p w:rsidR="0068158A" w:rsidRDefault="00364AD5">
      <w:pPr>
        <w:numPr>
          <w:ilvl w:val="0"/>
          <w:numId w:val="3"/>
        </w:numPr>
        <w:ind w:hanging="360"/>
      </w:pPr>
      <w:r>
        <w:t>Familiarising themselves with JCQ instructions for conducting non-examination assessment</w:t>
      </w:r>
    </w:p>
    <w:p w:rsidR="0068158A" w:rsidRDefault="00364AD5">
      <w:pPr>
        <w:numPr>
          <w:ilvl w:val="0"/>
          <w:numId w:val="3"/>
        </w:numPr>
        <w:ind w:hanging="360"/>
      </w:pPr>
      <w:r>
        <w:lastRenderedPageBreak/>
        <w:t>Understanding and complying with specific instructions relating to non-examination assessment for the relevant awarding body</w:t>
      </w:r>
    </w:p>
    <w:p w:rsidR="0068158A" w:rsidRDefault="00364AD5">
      <w:pPr>
        <w:numPr>
          <w:ilvl w:val="0"/>
          <w:numId w:val="3"/>
        </w:numPr>
        <w:ind w:hanging="360"/>
      </w:pPr>
      <w:r>
        <w:t>Ensuring that individual teachers understand their responsibilities with regard to non</w:t>
      </w:r>
      <w:r w:rsidR="000A4625">
        <w:t xml:space="preserve"> </w:t>
      </w:r>
      <w:r>
        <w:t>examination assessment</w:t>
      </w:r>
    </w:p>
    <w:p w:rsidR="0068158A" w:rsidRDefault="00364AD5">
      <w:pPr>
        <w:numPr>
          <w:ilvl w:val="0"/>
          <w:numId w:val="3"/>
        </w:numPr>
        <w:ind w:hanging="360"/>
      </w:pPr>
      <w:r>
        <w:t>Ensuring that teachers use the correct task for the year of submission and take care to distinguish between tasks and requirements for legacy and new specifications, where relevant</w:t>
      </w:r>
    </w:p>
    <w:p w:rsidR="0068158A" w:rsidRDefault="00364AD5">
      <w:pPr>
        <w:numPr>
          <w:ilvl w:val="0"/>
          <w:numId w:val="3"/>
        </w:numPr>
        <w:ind w:hanging="360"/>
      </w:pPr>
      <w:r>
        <w:t>Obtaining confidential materials/tasks set by awarding bodies in sufficient time to prepare for the assessment(s), where relevant, and ensuring that such materials are stored securely at all times</w:t>
      </w:r>
    </w:p>
    <w:p w:rsidR="0068158A" w:rsidRDefault="00364AD5">
      <w:pPr>
        <w:numPr>
          <w:ilvl w:val="0"/>
          <w:numId w:val="3"/>
        </w:numPr>
        <w:spacing w:after="385"/>
        <w:ind w:hanging="360"/>
      </w:pPr>
      <w:r>
        <w:t>Undertaking appropriate departmental standardisation of non-examination assessments.</w:t>
      </w:r>
    </w:p>
    <w:p w:rsidR="0068158A" w:rsidRDefault="00364AD5">
      <w:pPr>
        <w:pStyle w:val="Heading2"/>
        <w:spacing w:after="98" w:line="259" w:lineRule="auto"/>
        <w:ind w:left="-5"/>
      </w:pPr>
      <w:r>
        <w:rPr>
          <w:b w:val="0"/>
          <w:u w:val="single" w:color="000000"/>
        </w:rPr>
        <w:t>Teachers</w:t>
      </w:r>
    </w:p>
    <w:p w:rsidR="0068158A" w:rsidRDefault="00364AD5">
      <w:r>
        <w:t>Teachers are responsible for:</w:t>
      </w:r>
    </w:p>
    <w:p w:rsidR="0068158A" w:rsidRDefault="00364AD5">
      <w:pPr>
        <w:numPr>
          <w:ilvl w:val="0"/>
          <w:numId w:val="4"/>
        </w:numPr>
        <w:ind w:hanging="360"/>
      </w:pPr>
      <w:r>
        <w:t>Understanding and complying with JCQ instructions for conducting non-examination assessment</w:t>
      </w:r>
    </w:p>
    <w:p w:rsidR="0068158A" w:rsidRDefault="00364AD5">
      <w:pPr>
        <w:numPr>
          <w:ilvl w:val="0"/>
          <w:numId w:val="4"/>
        </w:numPr>
        <w:ind w:hanging="360"/>
      </w:pPr>
      <w:r>
        <w:t>Understanding and complying with the awarding body’s specification, where provided, for conducting non-examination assessments, including any subject</w:t>
      </w:r>
      <w:r w:rsidR="000A4625">
        <w:t xml:space="preserve"> </w:t>
      </w:r>
      <w:r>
        <w:t>specific instructions, teachers’ notes or additional information on the awarding body’s website</w:t>
      </w:r>
    </w:p>
    <w:p w:rsidR="0068158A" w:rsidRDefault="00364AD5">
      <w:pPr>
        <w:numPr>
          <w:ilvl w:val="0"/>
          <w:numId w:val="4"/>
        </w:numPr>
        <w:spacing w:after="391"/>
        <w:ind w:hanging="360"/>
      </w:pPr>
      <w:r>
        <w:t>Marking internally assessed work to the criteria provided by the awarding body</w:t>
      </w:r>
    </w:p>
    <w:p w:rsidR="0068158A" w:rsidRDefault="00364AD5">
      <w:pPr>
        <w:pStyle w:val="Heading2"/>
        <w:spacing w:after="98" w:line="259" w:lineRule="auto"/>
        <w:ind w:left="-5"/>
      </w:pPr>
      <w:r>
        <w:rPr>
          <w:b w:val="0"/>
          <w:u w:val="single" w:color="000000"/>
        </w:rPr>
        <w:t>Examinations Officer</w:t>
      </w:r>
    </w:p>
    <w:p w:rsidR="0068158A" w:rsidRDefault="00364AD5">
      <w:r>
        <w:t>The Examinations Officer is responsible for:</w:t>
      </w:r>
    </w:p>
    <w:p w:rsidR="0068158A" w:rsidRDefault="00364AD5">
      <w:pPr>
        <w:numPr>
          <w:ilvl w:val="0"/>
          <w:numId w:val="5"/>
        </w:numPr>
        <w:spacing w:after="359" w:line="265" w:lineRule="auto"/>
        <w:ind w:right="-15" w:hanging="360"/>
        <w:jc w:val="right"/>
      </w:pPr>
      <w:r>
        <w:t>Signposts the annually updated JCQ publication</w:t>
      </w:r>
      <w:hyperlink r:id="rId8">
        <w:r>
          <w:t xml:space="preserve"> NEA </w:t>
        </w:r>
      </w:hyperlink>
      <w:r>
        <w:t>to relevant centre staff</w:t>
      </w:r>
    </w:p>
    <w:p w:rsidR="0068158A" w:rsidRDefault="00364AD5">
      <w:pPr>
        <w:numPr>
          <w:ilvl w:val="0"/>
          <w:numId w:val="5"/>
        </w:numPr>
        <w:spacing w:after="458" w:line="265" w:lineRule="auto"/>
        <w:ind w:right="-15" w:hanging="360"/>
        <w:jc w:val="right"/>
      </w:pPr>
      <w:r>
        <w:t>Supporting the administration/management of non-examination assessment</w:t>
      </w:r>
    </w:p>
    <w:p w:rsidR="0068158A" w:rsidRDefault="000A4625">
      <w:pPr>
        <w:pStyle w:val="Heading2"/>
        <w:spacing w:after="98" w:line="259" w:lineRule="auto"/>
        <w:ind w:left="-5"/>
      </w:pPr>
      <w:r>
        <w:rPr>
          <w:b w:val="0"/>
          <w:u w:val="single" w:color="000000"/>
        </w:rPr>
        <w:t xml:space="preserve">Deputy Headteacher / Assistant Heads </w:t>
      </w:r>
    </w:p>
    <w:p w:rsidR="0068158A" w:rsidRDefault="00364AD5">
      <w:pPr>
        <w:spacing w:after="81" w:line="292" w:lineRule="auto"/>
        <w:ind w:left="0" w:firstLine="0"/>
      </w:pPr>
      <w:r>
        <w:rPr>
          <w:b/>
          <w:i/>
        </w:rPr>
        <w:t xml:space="preserve">Whilst at Meadow High School there is no SENCO role, the associated responsibilities are undertaken by the </w:t>
      </w:r>
      <w:r w:rsidR="000A4625">
        <w:rPr>
          <w:b/>
          <w:i/>
        </w:rPr>
        <w:t xml:space="preserve">Deputy Headteacher and </w:t>
      </w:r>
      <w:r>
        <w:rPr>
          <w:b/>
          <w:i/>
        </w:rPr>
        <w:t>Assistant Head</w:t>
      </w:r>
      <w:r w:rsidR="000A4625">
        <w:rPr>
          <w:b/>
          <w:i/>
        </w:rPr>
        <w:t xml:space="preserve"> of </w:t>
      </w:r>
      <w:r>
        <w:rPr>
          <w:b/>
          <w:i/>
        </w:rPr>
        <w:t xml:space="preserve">Key Stage 5. </w:t>
      </w:r>
      <w:r>
        <w:t xml:space="preserve">The </w:t>
      </w:r>
      <w:r w:rsidR="000A4625">
        <w:t xml:space="preserve">Deputy / </w:t>
      </w:r>
      <w:r>
        <w:t>Assistant Head are responsible for:</w:t>
      </w:r>
    </w:p>
    <w:p w:rsidR="0068158A" w:rsidRDefault="00364AD5">
      <w:pPr>
        <w:spacing w:after="865"/>
        <w:ind w:left="629" w:hanging="360"/>
      </w:pPr>
      <w:r>
        <w:t>● Ensuring that all relevant staff are aware of any access arrangements that need to be applied</w:t>
      </w:r>
    </w:p>
    <w:p w:rsidR="0068158A" w:rsidRDefault="00364AD5">
      <w:pPr>
        <w:pStyle w:val="Heading2"/>
        <w:ind w:left="-5"/>
      </w:pPr>
      <w:r>
        <w:t>Task setting</w:t>
      </w:r>
    </w:p>
    <w:p w:rsidR="0068158A" w:rsidRDefault="00364AD5">
      <w:r>
        <w:t>Where the centre is responsible for task setting, in accordance with specific awarding body guidelines, heads of department/teachers will:</w:t>
      </w:r>
    </w:p>
    <w:p w:rsidR="0068158A" w:rsidRDefault="00364AD5">
      <w:pPr>
        <w:numPr>
          <w:ilvl w:val="0"/>
          <w:numId w:val="6"/>
        </w:numPr>
        <w:ind w:hanging="360"/>
      </w:pPr>
      <w:r>
        <w:t>Select from non-examination assessment tasks provided by the awarding body, or</w:t>
      </w:r>
    </w:p>
    <w:p w:rsidR="0068158A" w:rsidRDefault="00364AD5">
      <w:pPr>
        <w:numPr>
          <w:ilvl w:val="0"/>
          <w:numId w:val="6"/>
        </w:numPr>
        <w:spacing w:after="109"/>
        <w:ind w:hanging="360"/>
      </w:pPr>
      <w:r>
        <w:lastRenderedPageBreak/>
        <w:t>Design their own tasks, in conjunction with candidates where permitted, using criteria set out in the specification</w:t>
      </w:r>
    </w:p>
    <w:p w:rsidR="0068158A" w:rsidRDefault="00364AD5">
      <w:r>
        <w:t>Teachers will ensure that candidates understand the assessment criteria for any given assessment task.</w:t>
      </w:r>
    </w:p>
    <w:p w:rsidR="003717B0" w:rsidRDefault="003717B0">
      <w:pPr>
        <w:pStyle w:val="Heading2"/>
        <w:ind w:left="-5"/>
      </w:pPr>
    </w:p>
    <w:p w:rsidR="0068158A" w:rsidRDefault="00364AD5">
      <w:pPr>
        <w:pStyle w:val="Heading2"/>
        <w:ind w:left="-5"/>
      </w:pPr>
      <w:r>
        <w:t>Task taking</w:t>
      </w:r>
    </w:p>
    <w:p w:rsidR="0068158A" w:rsidRDefault="00364AD5">
      <w:pPr>
        <w:spacing w:after="110"/>
      </w:pPr>
      <w:r>
        <w:t>Where appropriate to the component being assessed, the following arrangements apply unless the awarding body’s specification says otherwise.</w:t>
      </w:r>
    </w:p>
    <w:p w:rsidR="0068158A" w:rsidRDefault="00364AD5">
      <w:pPr>
        <w:pStyle w:val="Heading3"/>
        <w:ind w:left="-5"/>
      </w:pPr>
      <w:r>
        <w:t>Supervision</w:t>
      </w:r>
    </w:p>
    <w:p w:rsidR="0068158A" w:rsidRDefault="00364AD5">
      <w:pPr>
        <w:numPr>
          <w:ilvl w:val="0"/>
          <w:numId w:val="7"/>
        </w:numPr>
        <w:ind w:hanging="360"/>
      </w:pPr>
      <w:r>
        <w:t>Invigilators are not required</w:t>
      </w:r>
    </w:p>
    <w:p w:rsidR="0068158A" w:rsidRDefault="00364AD5">
      <w:pPr>
        <w:numPr>
          <w:ilvl w:val="0"/>
          <w:numId w:val="7"/>
        </w:numPr>
        <w:ind w:hanging="360"/>
      </w:pPr>
      <w:r>
        <w:t>Centres are not required to display the JCQ ‘no mobile phone’ poster or JCQ ‘warning to candidates’</w:t>
      </w:r>
    </w:p>
    <w:p w:rsidR="0068158A" w:rsidRDefault="00364AD5">
      <w:pPr>
        <w:numPr>
          <w:ilvl w:val="0"/>
          <w:numId w:val="7"/>
        </w:numPr>
        <w:ind w:hanging="360"/>
      </w:pPr>
      <w:r>
        <w:t>Candidates do not need to be directly supervised at all times</w:t>
      </w:r>
    </w:p>
    <w:p w:rsidR="0068158A" w:rsidRDefault="00364AD5">
      <w:pPr>
        <w:numPr>
          <w:ilvl w:val="0"/>
          <w:numId w:val="7"/>
        </w:numPr>
        <w:spacing w:after="75" w:line="305" w:lineRule="auto"/>
        <w:ind w:hanging="360"/>
      </w:pPr>
      <w:r>
        <w:t>The use of resources, including the internet, is not tightly prescribed, but teachers will always check the subject-specific requirements issued by the awarding body ● Teachers will ensure that:</w:t>
      </w:r>
    </w:p>
    <w:p w:rsidR="0068158A" w:rsidRDefault="00364AD5">
      <w:pPr>
        <w:numPr>
          <w:ilvl w:val="1"/>
          <w:numId w:val="7"/>
        </w:numPr>
        <w:ind w:hanging="360"/>
      </w:pPr>
      <w:r>
        <w:t>There is sufficient supervision of every candidate to enable work to be authenticated</w:t>
      </w:r>
    </w:p>
    <w:p w:rsidR="0068158A" w:rsidRDefault="00364AD5">
      <w:pPr>
        <w:numPr>
          <w:ilvl w:val="1"/>
          <w:numId w:val="7"/>
        </w:numPr>
        <w:ind w:hanging="360"/>
      </w:pPr>
      <w:r>
        <w:t>The work that an individual candidate submits for assessment is his/her own</w:t>
      </w:r>
    </w:p>
    <w:p w:rsidR="0068158A" w:rsidRDefault="00364AD5">
      <w:pPr>
        <w:numPr>
          <w:ilvl w:val="0"/>
          <w:numId w:val="7"/>
        </w:numPr>
        <w:ind w:hanging="360"/>
      </w:pPr>
      <w:r>
        <w:t xml:space="preserve">Work may be completed outside of the centre without direct supervision provided that the centre is confident that the work produced is the candidate’s own </w:t>
      </w:r>
    </w:p>
    <w:p w:rsidR="0068158A" w:rsidRDefault="00364AD5">
      <w:pPr>
        <w:numPr>
          <w:ilvl w:val="0"/>
          <w:numId w:val="7"/>
        </w:numPr>
        <w:ind w:hanging="360"/>
      </w:pPr>
      <w:r>
        <w:t>Where candidates work in groups, the teacher will keep a record of each candidate’s contribution</w:t>
      </w:r>
    </w:p>
    <w:p w:rsidR="0068158A" w:rsidRDefault="00364AD5">
      <w:pPr>
        <w:numPr>
          <w:ilvl w:val="0"/>
          <w:numId w:val="7"/>
        </w:numPr>
        <w:ind w:hanging="360"/>
      </w:pPr>
      <w:r>
        <w:t xml:space="preserve">The teacher will also: </w:t>
      </w:r>
    </w:p>
    <w:p w:rsidR="0068158A" w:rsidRDefault="00364AD5">
      <w:pPr>
        <w:numPr>
          <w:ilvl w:val="1"/>
          <w:numId w:val="7"/>
        </w:numPr>
        <w:spacing w:after="0" w:line="382" w:lineRule="auto"/>
        <w:ind w:hanging="360"/>
      </w:pPr>
      <w:r>
        <w:t xml:space="preserve">Ensure that candidates understand the need to reference work </w:t>
      </w:r>
      <w:r>
        <w:rPr>
          <w:rFonts w:ascii="Courier New" w:eastAsia="Courier New" w:hAnsi="Courier New" w:cs="Courier New"/>
        </w:rPr>
        <w:t xml:space="preserve">o </w:t>
      </w:r>
      <w:r>
        <w:t>Give guidance on how to do this, and</w:t>
      </w:r>
    </w:p>
    <w:p w:rsidR="0068158A" w:rsidRDefault="00364AD5">
      <w:pPr>
        <w:numPr>
          <w:ilvl w:val="1"/>
          <w:numId w:val="7"/>
        </w:numPr>
        <w:ind w:hanging="360"/>
      </w:pPr>
      <w:r>
        <w:t>Ensure that candidates are aware that they must not plagiarise other material</w:t>
      </w:r>
    </w:p>
    <w:p w:rsidR="0068158A" w:rsidRDefault="00364AD5">
      <w:pPr>
        <w:pStyle w:val="Heading3"/>
        <w:ind w:left="-5"/>
      </w:pPr>
      <w:r>
        <w:t>Advice and feedback</w:t>
      </w:r>
    </w:p>
    <w:p w:rsidR="0068158A" w:rsidRDefault="00364AD5">
      <w:pPr>
        <w:numPr>
          <w:ilvl w:val="0"/>
          <w:numId w:val="8"/>
        </w:numPr>
        <w:ind w:hanging="360"/>
      </w:pPr>
      <w:r>
        <w:t xml:space="preserve">Teachers will not provide model answers or writing frames specific to the task (such as outlines, paragraph headings or section headings) </w:t>
      </w:r>
    </w:p>
    <w:p w:rsidR="0068158A" w:rsidRDefault="00364AD5">
      <w:pPr>
        <w:numPr>
          <w:ilvl w:val="0"/>
          <w:numId w:val="8"/>
        </w:numPr>
        <w:ind w:hanging="360"/>
      </w:pPr>
      <w:r>
        <w:t>Unless specifically prohibited by the awarding body’s specification, teachers may:</w:t>
      </w:r>
    </w:p>
    <w:p w:rsidR="0068158A" w:rsidRDefault="00364AD5">
      <w:pPr>
        <w:numPr>
          <w:ilvl w:val="1"/>
          <w:numId w:val="8"/>
        </w:numPr>
        <w:ind w:hanging="360"/>
      </w:pPr>
      <w:r>
        <w:t>Review candidates’ work and provide oral and written advice at a general level</w:t>
      </w:r>
    </w:p>
    <w:p w:rsidR="0068158A" w:rsidRDefault="00364AD5">
      <w:pPr>
        <w:numPr>
          <w:ilvl w:val="1"/>
          <w:numId w:val="8"/>
        </w:numPr>
        <w:ind w:hanging="360"/>
      </w:pPr>
      <w:r>
        <w:t>Having provided advice at a general level, allow candidates to revise and redraft work</w:t>
      </w:r>
    </w:p>
    <w:p w:rsidR="0068158A" w:rsidRDefault="00364AD5">
      <w:pPr>
        <w:numPr>
          <w:ilvl w:val="0"/>
          <w:numId w:val="8"/>
        </w:numPr>
        <w:ind w:hanging="360"/>
      </w:pPr>
      <w:r>
        <w:t>Any assistance that goes beyond general advice will be recorded and either taken into account when marking the work or submitted to the external examiner</w:t>
      </w:r>
    </w:p>
    <w:p w:rsidR="0068158A" w:rsidRDefault="00364AD5">
      <w:pPr>
        <w:numPr>
          <w:ilvl w:val="0"/>
          <w:numId w:val="8"/>
        </w:numPr>
        <w:ind w:hanging="360"/>
      </w:pPr>
      <w:r>
        <w:t>When marking work, teachers will use annotations to explain how marks were applied in the context of the additional assistance given</w:t>
      </w:r>
    </w:p>
    <w:p w:rsidR="0068158A" w:rsidRDefault="00364AD5">
      <w:pPr>
        <w:numPr>
          <w:ilvl w:val="0"/>
          <w:numId w:val="8"/>
        </w:numPr>
        <w:ind w:hanging="360"/>
      </w:pPr>
      <w:r>
        <w:lastRenderedPageBreak/>
        <w:t>Teachers will not provisionally assess work and then allow candidates to revise it</w:t>
      </w:r>
    </w:p>
    <w:p w:rsidR="0068158A" w:rsidRDefault="00364AD5">
      <w:pPr>
        <w:numPr>
          <w:ilvl w:val="0"/>
          <w:numId w:val="8"/>
        </w:numPr>
        <w:ind w:hanging="360"/>
      </w:pPr>
      <w:r>
        <w:t>Explicitly prohibited assistance will not be given</w:t>
      </w:r>
    </w:p>
    <w:p w:rsidR="0068158A" w:rsidRDefault="00364AD5">
      <w:pPr>
        <w:numPr>
          <w:ilvl w:val="0"/>
          <w:numId w:val="8"/>
        </w:numPr>
        <w:ind w:hanging="360"/>
      </w:pPr>
      <w:r>
        <w:t>Failure to follow this procedure constitutes malpractice</w:t>
      </w:r>
    </w:p>
    <w:p w:rsidR="0068158A" w:rsidRDefault="00364AD5">
      <w:pPr>
        <w:pStyle w:val="Heading3"/>
        <w:ind w:left="-5"/>
      </w:pPr>
      <w:r>
        <w:t>Resources</w:t>
      </w:r>
    </w:p>
    <w:p w:rsidR="0068158A" w:rsidRDefault="00364AD5">
      <w:pPr>
        <w:numPr>
          <w:ilvl w:val="0"/>
          <w:numId w:val="9"/>
        </w:numPr>
        <w:ind w:hanging="360"/>
      </w:pPr>
      <w:r>
        <w:t>Teachers will be aware of the awarding body’s restrictions with regard to access to resources</w:t>
      </w:r>
    </w:p>
    <w:p w:rsidR="0068158A" w:rsidRDefault="00364AD5">
      <w:pPr>
        <w:numPr>
          <w:ilvl w:val="0"/>
          <w:numId w:val="9"/>
        </w:numPr>
        <w:ind w:hanging="360"/>
      </w:pPr>
      <w:r>
        <w:t>Unless otherwise specified by the awarding body, in formally supervised sessions candidates can only take in preparatory notes. They will not access the internet nor bring in their own computers or electronic devices</w:t>
      </w:r>
    </w:p>
    <w:p w:rsidR="0068158A" w:rsidRDefault="00364AD5">
      <w:pPr>
        <w:numPr>
          <w:ilvl w:val="0"/>
          <w:numId w:val="9"/>
        </w:numPr>
        <w:ind w:hanging="360"/>
      </w:pPr>
      <w:r>
        <w:t>Candidates will not introduce new resources between formally supervised sessions</w:t>
      </w:r>
    </w:p>
    <w:p w:rsidR="0068158A" w:rsidRDefault="00364AD5">
      <w:pPr>
        <w:numPr>
          <w:ilvl w:val="0"/>
          <w:numId w:val="9"/>
        </w:numPr>
        <w:spacing w:after="109"/>
        <w:ind w:hanging="360"/>
      </w:pPr>
      <w:r>
        <w:t>Preparatory work and the work to be assessed will be collected and stored securely at the end of each session and will not be accessible to candidates</w:t>
      </w:r>
    </w:p>
    <w:p w:rsidR="0068158A" w:rsidRDefault="00364AD5">
      <w:pPr>
        <w:pStyle w:val="Heading3"/>
        <w:ind w:left="-5"/>
      </w:pPr>
      <w:r>
        <w:t>Group work</w:t>
      </w:r>
    </w:p>
    <w:p w:rsidR="0068158A" w:rsidRDefault="00364AD5">
      <w:pPr>
        <w:numPr>
          <w:ilvl w:val="0"/>
          <w:numId w:val="10"/>
        </w:numPr>
        <w:ind w:hanging="360"/>
      </w:pPr>
      <w:r>
        <w:t>Unless the specification says otherwise, candidates are free to collaborate when carrying out research and preparatory work</w:t>
      </w:r>
    </w:p>
    <w:p w:rsidR="0068158A" w:rsidRDefault="00364AD5">
      <w:pPr>
        <w:numPr>
          <w:ilvl w:val="0"/>
          <w:numId w:val="10"/>
        </w:numPr>
        <w:ind w:hanging="360"/>
      </w:pPr>
      <w:r>
        <w:t>Where it is permitted, some assignments may be undertaken as part of a group</w:t>
      </w:r>
    </w:p>
    <w:p w:rsidR="0068158A" w:rsidRDefault="00364AD5">
      <w:pPr>
        <w:numPr>
          <w:ilvl w:val="0"/>
          <w:numId w:val="10"/>
        </w:numPr>
        <w:ind w:hanging="360"/>
      </w:pPr>
      <w:r>
        <w:t>Where an assignment requires written work to be produced, each candidate will write up his/her own account of the assignment. Individual contributions will be clearly identified</w:t>
      </w:r>
    </w:p>
    <w:p w:rsidR="0068158A" w:rsidRDefault="00364AD5">
      <w:pPr>
        <w:numPr>
          <w:ilvl w:val="0"/>
          <w:numId w:val="10"/>
        </w:numPr>
        <w:spacing w:after="475"/>
        <w:ind w:hanging="360"/>
      </w:pPr>
      <w:r>
        <w:t>Group assessment is not permitted</w:t>
      </w:r>
    </w:p>
    <w:p w:rsidR="0068158A" w:rsidRDefault="00364AD5">
      <w:pPr>
        <w:pStyle w:val="Heading2"/>
        <w:ind w:left="-5"/>
      </w:pPr>
      <w:r>
        <w:t>Authentication</w:t>
      </w:r>
    </w:p>
    <w:p w:rsidR="0068158A" w:rsidRDefault="00364AD5">
      <w:pPr>
        <w:spacing w:after="110"/>
      </w:pPr>
      <w:r>
        <w:t>Teachers will be sufficiently familiar with the candidate’s general standard to judge whether the piece of work submitted is within his/her capabilities.</w:t>
      </w:r>
    </w:p>
    <w:p w:rsidR="0068158A" w:rsidRDefault="00364AD5">
      <w:r>
        <w:t>Where required by the awarding body’s specifications:</w:t>
      </w:r>
    </w:p>
    <w:p w:rsidR="0068158A" w:rsidRDefault="00364AD5">
      <w:pPr>
        <w:numPr>
          <w:ilvl w:val="0"/>
          <w:numId w:val="11"/>
        </w:numPr>
        <w:ind w:hanging="360"/>
      </w:pPr>
      <w:r>
        <w:t>Candidates will sign a declaration to confirm that the work they submit for final assessment is their own unaided work</w:t>
      </w:r>
    </w:p>
    <w:p w:rsidR="0068158A" w:rsidRDefault="00364AD5">
      <w:pPr>
        <w:numPr>
          <w:ilvl w:val="0"/>
          <w:numId w:val="11"/>
        </w:numPr>
        <w:ind w:hanging="360"/>
      </w:pPr>
      <w:r>
        <w:t>Teachers will sign a declaration of authentication after the work has been completed confirming that:</w:t>
      </w:r>
    </w:p>
    <w:p w:rsidR="0068158A" w:rsidRDefault="00364AD5">
      <w:pPr>
        <w:spacing w:after="0" w:line="381" w:lineRule="auto"/>
        <w:ind w:left="1014" w:right="2438"/>
      </w:pPr>
      <w:r>
        <w:rPr>
          <w:rFonts w:ascii="Courier New" w:eastAsia="Courier New" w:hAnsi="Courier New" w:cs="Courier New"/>
        </w:rPr>
        <w:t xml:space="preserve">o </w:t>
      </w:r>
      <w:r>
        <w:t xml:space="preserve">The work is solely that of the candidate concerned </w:t>
      </w:r>
      <w:r>
        <w:rPr>
          <w:rFonts w:ascii="Courier New" w:eastAsia="Courier New" w:hAnsi="Courier New" w:cs="Courier New"/>
        </w:rPr>
        <w:t xml:space="preserve">o </w:t>
      </w:r>
      <w:r>
        <w:t xml:space="preserve">The work was completed under the required conditions </w:t>
      </w:r>
      <w:r>
        <w:rPr>
          <w:rFonts w:ascii="Courier New" w:eastAsia="Courier New" w:hAnsi="Courier New" w:cs="Courier New"/>
        </w:rPr>
        <w:t xml:space="preserve">o </w:t>
      </w:r>
      <w:r>
        <w:t>Signed candidate declarations are kept on file</w:t>
      </w:r>
    </w:p>
    <w:p w:rsidR="0068158A" w:rsidRDefault="00364AD5">
      <w:pPr>
        <w:spacing w:after="470"/>
      </w:pPr>
      <w:r>
        <w:t>If there is concern that malpractice may have occurred or the work is unable to be authenticated, the senior leadership will be informed.</w:t>
      </w:r>
    </w:p>
    <w:p w:rsidR="0068158A" w:rsidRDefault="00364AD5">
      <w:pPr>
        <w:pStyle w:val="Heading2"/>
        <w:ind w:left="-5"/>
      </w:pPr>
      <w:r>
        <w:lastRenderedPageBreak/>
        <w:t>Task marking</w:t>
      </w:r>
    </w:p>
    <w:p w:rsidR="0068158A" w:rsidRDefault="00364AD5">
      <w:pPr>
        <w:pStyle w:val="Heading3"/>
        <w:ind w:left="-5"/>
      </w:pPr>
      <w:r>
        <w:t>Internally assessed work</w:t>
      </w:r>
    </w:p>
    <w:p w:rsidR="0068158A" w:rsidRDefault="00364AD5">
      <w:pPr>
        <w:spacing w:after="110"/>
      </w:pPr>
      <w:r>
        <w:t>Teachers are responsible for marking work in accordance with the relevant marking criteria. Annotation will be used to provide evidence to indicate how and why marks have been awarded.</w:t>
      </w:r>
    </w:p>
    <w:p w:rsidR="0068158A" w:rsidRDefault="00364AD5">
      <w:pPr>
        <w:spacing w:after="110"/>
      </w:pPr>
      <w:r>
        <w:t xml:space="preserve">We will inform candidates of internally assessed marks as candidates are allowed to request a review of the centre’s marking before marks are submitted to the awarding body. </w:t>
      </w:r>
    </w:p>
    <w:p w:rsidR="0068158A" w:rsidRDefault="00364AD5">
      <w:pPr>
        <w:spacing w:after="506"/>
      </w:pPr>
      <w:r>
        <w:t>We will also make it clear to candidates that any internally assessed marks are subject to change during the moderation process.</w:t>
      </w:r>
    </w:p>
    <w:p w:rsidR="0068158A" w:rsidRDefault="00364AD5">
      <w:pPr>
        <w:pStyle w:val="Heading3"/>
        <w:ind w:left="-5"/>
      </w:pPr>
      <w:r>
        <w:t>Externally assessed work</w:t>
      </w:r>
    </w:p>
    <w:p w:rsidR="0068158A" w:rsidRDefault="00364AD5">
      <w:r>
        <w:t xml:space="preserve">The format of external assessment will depend on the awarding body’s specification and the component being assessed. </w:t>
      </w:r>
    </w:p>
    <w:p w:rsidR="0068158A" w:rsidRDefault="00364AD5">
      <w:pPr>
        <w:spacing w:after="110"/>
      </w:pPr>
      <w:r>
        <w:t xml:space="preserve">Teachers will ensure the attendance register is completed, clearly indicating those candidates who are present or absent. </w:t>
      </w:r>
    </w:p>
    <w:p w:rsidR="0068158A" w:rsidRDefault="00364AD5">
      <w:pPr>
        <w:spacing w:after="470"/>
      </w:pPr>
      <w:r>
        <w:t>Where candidates’ work needs to be dispatched to an examiner, we will ensure it is sent by the date specified by the awarding body.</w:t>
      </w:r>
    </w:p>
    <w:p w:rsidR="0068158A" w:rsidRDefault="00364AD5">
      <w:pPr>
        <w:pStyle w:val="Heading2"/>
        <w:ind w:left="-5"/>
      </w:pPr>
      <w:r>
        <w:t>Malpractice</w:t>
      </w:r>
    </w:p>
    <w:p w:rsidR="0068158A" w:rsidRDefault="00364AD5">
      <w:pPr>
        <w:spacing w:after="110"/>
      </w:pPr>
      <w:r>
        <w:t>The head of centre and senior leaders will make sure teaching staff involved in supervising candidates are aware of the potential for malpractice.</w:t>
      </w:r>
    </w:p>
    <w:p w:rsidR="0068158A" w:rsidRDefault="00364AD5">
      <w:pPr>
        <w:spacing w:after="120" w:line="240" w:lineRule="auto"/>
        <w:ind w:left="0" w:firstLine="0"/>
      </w:pPr>
      <w:r>
        <w:t xml:space="preserve">Teachers will familiarise themselves with the </w:t>
      </w:r>
      <w:hyperlink r:id="rId9">
        <w:r>
          <w:rPr>
            <w:color w:val="0092CF"/>
            <w:u w:val="single" w:color="0092CF"/>
          </w:rPr>
          <w:t>JCQ guidance on sharing assessment</w:t>
        </w:r>
      </w:hyperlink>
      <w:hyperlink r:id="rId10">
        <w:r>
          <w:rPr>
            <w:color w:val="0092CF"/>
          </w:rPr>
          <w:t xml:space="preserve"> </w:t>
        </w:r>
      </w:hyperlink>
      <w:hyperlink r:id="rId11">
        <w:r>
          <w:rPr>
            <w:color w:val="0092CF"/>
            <w:u w:val="single" w:color="0092CF"/>
          </w:rPr>
          <w:t>material and candidates’ work</w:t>
        </w:r>
      </w:hyperlink>
      <w:r>
        <w:t xml:space="preserve">. </w:t>
      </w:r>
    </w:p>
    <w:p w:rsidR="0068158A" w:rsidRDefault="00364AD5">
      <w:r>
        <w:t>Teachers will be vigilant in relation to candidate malpractice. Candidates must not:</w:t>
      </w:r>
    </w:p>
    <w:p w:rsidR="0068158A" w:rsidRDefault="00364AD5">
      <w:pPr>
        <w:numPr>
          <w:ilvl w:val="0"/>
          <w:numId w:val="12"/>
        </w:numPr>
        <w:ind w:hanging="360"/>
      </w:pPr>
      <w:r>
        <w:t>Submit work which is not their own</w:t>
      </w:r>
    </w:p>
    <w:p w:rsidR="0068158A" w:rsidRDefault="00364AD5">
      <w:pPr>
        <w:numPr>
          <w:ilvl w:val="0"/>
          <w:numId w:val="12"/>
        </w:numPr>
        <w:ind w:hanging="360"/>
      </w:pPr>
      <w:r>
        <w:t>Make their work available to other candidates through any medium, including social media</w:t>
      </w:r>
    </w:p>
    <w:p w:rsidR="0068158A" w:rsidRDefault="00364AD5">
      <w:pPr>
        <w:numPr>
          <w:ilvl w:val="0"/>
          <w:numId w:val="12"/>
        </w:numPr>
        <w:ind w:hanging="360"/>
      </w:pPr>
      <w:r>
        <w:t>Allow other candidates to have access to their own independently sourced material</w:t>
      </w:r>
    </w:p>
    <w:p w:rsidR="0068158A" w:rsidRDefault="00364AD5">
      <w:pPr>
        <w:numPr>
          <w:ilvl w:val="0"/>
          <w:numId w:val="12"/>
        </w:numPr>
        <w:ind w:hanging="360"/>
      </w:pPr>
      <w:r>
        <w:t>Assist other candidates to produce work</w:t>
      </w:r>
    </w:p>
    <w:p w:rsidR="0068158A" w:rsidRDefault="00364AD5">
      <w:pPr>
        <w:numPr>
          <w:ilvl w:val="0"/>
          <w:numId w:val="12"/>
        </w:numPr>
        <w:ind w:hanging="360"/>
      </w:pPr>
      <w:r>
        <w:t>Use books, the internet or other sources without acknowledgement or attribution</w:t>
      </w:r>
    </w:p>
    <w:p w:rsidR="0068158A" w:rsidRDefault="00364AD5">
      <w:pPr>
        <w:numPr>
          <w:ilvl w:val="0"/>
          <w:numId w:val="12"/>
        </w:numPr>
        <w:ind w:hanging="360"/>
      </w:pPr>
      <w:r>
        <w:t>Submit work that has been word processed by a third party without acknowledgement</w:t>
      </w:r>
    </w:p>
    <w:p w:rsidR="0068158A" w:rsidRDefault="00364AD5">
      <w:pPr>
        <w:numPr>
          <w:ilvl w:val="0"/>
          <w:numId w:val="12"/>
        </w:numPr>
        <w:ind w:hanging="360"/>
      </w:pPr>
      <w:r>
        <w:t>Include inappropriate, offensive or obscene material</w:t>
      </w:r>
    </w:p>
    <w:p w:rsidR="0068158A" w:rsidRDefault="00364AD5">
      <w:pPr>
        <w:spacing w:after="266"/>
      </w:pPr>
      <w:r>
        <w:t>Failure to report allegations of malpractice or suspected malpractice constitutes malpractice in itself. Malpractice will be reported to senior leaders or directly to the awarding body.</w:t>
      </w:r>
    </w:p>
    <w:p w:rsidR="0068158A" w:rsidRDefault="00364AD5">
      <w:pPr>
        <w:pStyle w:val="Heading2"/>
        <w:ind w:left="-5"/>
      </w:pPr>
      <w:r>
        <w:t>Enquiries about results</w:t>
      </w:r>
    </w:p>
    <w:p w:rsidR="0068158A" w:rsidRDefault="00364AD5">
      <w:pPr>
        <w:spacing w:after="110"/>
      </w:pPr>
      <w:r>
        <w:t>We will make candidates aware of the arrangements for enquiries about results before they take any assessments.</w:t>
      </w:r>
    </w:p>
    <w:p w:rsidR="0068158A" w:rsidRDefault="00364AD5">
      <w:pPr>
        <w:spacing w:after="110"/>
      </w:pPr>
      <w:r>
        <w:lastRenderedPageBreak/>
        <w:t>Senior members of staff will be accessible to candidates immediately after the publication of results so that results may be discussed and decisions made on the submission of enquiries.</w:t>
      </w:r>
    </w:p>
    <w:p w:rsidR="0068158A" w:rsidRDefault="00364AD5">
      <w:pPr>
        <w:spacing w:after="110"/>
      </w:pPr>
      <w:r>
        <w:t>A review of marking is available for externally assessed components. We will obtain written consent from candidates for reviews of marking, and inform candidates that their marks may be lowered as a result of a review of marking.</w:t>
      </w:r>
    </w:p>
    <w:p w:rsidR="0068158A" w:rsidRDefault="00364AD5">
      <w:pPr>
        <w:spacing w:after="470"/>
      </w:pPr>
      <w:r>
        <w:t>A review of moderation is available for internally assessed components only when marks have been changed by an awarding body during moderations. If marks have been accepted without change, this will not be available. A review of moderation is not available for an individual candidate.</w:t>
      </w:r>
    </w:p>
    <w:p w:rsidR="0068158A" w:rsidRDefault="00364AD5">
      <w:pPr>
        <w:pStyle w:val="Heading2"/>
        <w:ind w:left="-5"/>
      </w:pPr>
      <w:r>
        <w:t>Monitoring</w:t>
      </w:r>
    </w:p>
    <w:p w:rsidR="0068158A" w:rsidRDefault="00364AD5">
      <w:r>
        <w:t>This policy will be reviewed by The Head of Centre, Senior Leadership Team and the Examinations Officer at the beginni</w:t>
      </w:r>
      <w:r w:rsidR="000A4625">
        <w:t xml:space="preserve">ng of each academic year. </w:t>
      </w:r>
    </w:p>
    <w:p w:rsidR="0068158A" w:rsidRDefault="00364AD5">
      <w:pPr>
        <w:spacing w:after="98" w:line="259" w:lineRule="auto"/>
        <w:ind w:left="-5"/>
      </w:pPr>
      <w:r>
        <w:rPr>
          <w:u w:val="single" w:color="000000"/>
        </w:rPr>
        <w:t>APPENDIX 1</w:t>
      </w:r>
    </w:p>
    <w:p w:rsidR="0068158A" w:rsidRDefault="00364AD5">
      <w:pPr>
        <w:spacing w:after="506"/>
        <w:ind w:left="-5"/>
      </w:pPr>
      <w:r>
        <w:rPr>
          <w:b/>
        </w:rPr>
        <w:t>Spoken Language Endorsement for GCSE English Language specifications designed for use in England</w:t>
      </w:r>
    </w:p>
    <w:p w:rsidR="0068158A" w:rsidRDefault="00364AD5">
      <w:pPr>
        <w:pStyle w:val="Heading2"/>
        <w:ind w:left="-5"/>
      </w:pPr>
      <w:r>
        <w:t>Head of centre</w:t>
      </w:r>
    </w:p>
    <w:p w:rsidR="0068158A" w:rsidRDefault="00364AD5">
      <w:pPr>
        <w:spacing w:after="386"/>
        <w:ind w:left="720" w:hanging="360"/>
      </w:pPr>
      <w:r>
        <w:t>● Returns an online ‘Head of Centre declaration’ at the time of the National Centre Number Register annual update, confirming that all reasonable steps have been or will be taken to ensure that all candidates at the centre have had, or will have, the opportunity to undertake the Spoken Language endorsement</w:t>
      </w:r>
    </w:p>
    <w:p w:rsidR="0068158A" w:rsidRDefault="00364AD5">
      <w:pPr>
        <w:pStyle w:val="Heading2"/>
        <w:ind w:left="-5"/>
      </w:pPr>
      <w:r>
        <w:t>Subject head/lead</w:t>
      </w:r>
    </w:p>
    <w:p w:rsidR="0068158A" w:rsidRDefault="00364AD5">
      <w:pPr>
        <w:numPr>
          <w:ilvl w:val="0"/>
          <w:numId w:val="13"/>
        </w:numPr>
        <w:spacing w:after="10"/>
        <w:ind w:hanging="360"/>
      </w:pPr>
      <w:r>
        <w:t xml:space="preserve">Confirms understanding of the Spoken Language Endorsement for GCSE English </w:t>
      </w:r>
    </w:p>
    <w:p w:rsidR="0068158A" w:rsidRDefault="00364AD5">
      <w:pPr>
        <w:spacing w:after="287"/>
        <w:ind w:left="730"/>
      </w:pPr>
      <w:r>
        <w:t>Language specifications designed for use in England and ensures any relevant JCQ/awarding body instructions are followed</w:t>
      </w:r>
    </w:p>
    <w:p w:rsidR="0068158A" w:rsidRDefault="00364AD5">
      <w:pPr>
        <w:numPr>
          <w:ilvl w:val="0"/>
          <w:numId w:val="13"/>
        </w:numPr>
        <w:spacing w:after="287"/>
        <w:ind w:hanging="360"/>
      </w:pPr>
      <w:r>
        <w:t>Ensures the required task setting and task taking instructions are followed by subject teachers</w:t>
      </w:r>
    </w:p>
    <w:p w:rsidR="0068158A" w:rsidRDefault="00364AD5">
      <w:pPr>
        <w:numPr>
          <w:ilvl w:val="0"/>
          <w:numId w:val="13"/>
        </w:numPr>
        <w:spacing w:after="287"/>
        <w:ind w:hanging="360"/>
      </w:pPr>
      <w:r>
        <w:t xml:space="preserve">Ensures subject teachers assess candidates, either live or from recordings, using the common assessment criteria  </w:t>
      </w:r>
    </w:p>
    <w:p w:rsidR="0068158A" w:rsidRDefault="00364AD5">
      <w:pPr>
        <w:numPr>
          <w:ilvl w:val="0"/>
          <w:numId w:val="13"/>
        </w:numPr>
        <w:spacing w:after="385"/>
        <w:ind w:hanging="360"/>
      </w:pPr>
      <w:r>
        <w:t xml:space="preserve">Ensures for monitoring purposes, audio-visual recordings of the presentations of a sample of candidates are provided </w:t>
      </w:r>
    </w:p>
    <w:p w:rsidR="0068158A" w:rsidRDefault="00364AD5">
      <w:pPr>
        <w:pStyle w:val="Heading2"/>
        <w:spacing w:after="405"/>
        <w:ind w:left="-5"/>
      </w:pPr>
      <w:r>
        <w:t>Subject teacher</w:t>
      </w:r>
    </w:p>
    <w:p w:rsidR="0068158A" w:rsidRDefault="00364AD5">
      <w:pPr>
        <w:numPr>
          <w:ilvl w:val="0"/>
          <w:numId w:val="14"/>
        </w:numPr>
        <w:spacing w:after="287"/>
        <w:ind w:hanging="360"/>
      </w:pPr>
      <w:r>
        <w:t>Ensures all the requirements in relation to the endorsement are known and understood</w:t>
      </w:r>
    </w:p>
    <w:p w:rsidR="0068158A" w:rsidRDefault="00364AD5">
      <w:pPr>
        <w:numPr>
          <w:ilvl w:val="0"/>
          <w:numId w:val="14"/>
        </w:numPr>
        <w:spacing w:after="292"/>
        <w:ind w:hanging="360"/>
      </w:pPr>
      <w:r>
        <w:t xml:space="preserve">Follows the required task setting and task taking instructions </w:t>
      </w:r>
    </w:p>
    <w:p w:rsidR="0068158A" w:rsidRDefault="00364AD5">
      <w:pPr>
        <w:numPr>
          <w:ilvl w:val="0"/>
          <w:numId w:val="14"/>
        </w:numPr>
        <w:spacing w:after="287"/>
        <w:ind w:hanging="360"/>
      </w:pPr>
      <w:r>
        <w:lastRenderedPageBreak/>
        <w:t xml:space="preserve">Assesses candidates, either live or from recordings, using the common assessment criteria  </w:t>
      </w:r>
    </w:p>
    <w:p w:rsidR="0068158A" w:rsidRDefault="00364AD5">
      <w:pPr>
        <w:numPr>
          <w:ilvl w:val="0"/>
          <w:numId w:val="14"/>
        </w:numPr>
        <w:spacing w:after="287"/>
        <w:ind w:hanging="360"/>
      </w:pPr>
      <w:r>
        <w:t>Provides audio-visual recordings of the presentations of a sample of candidates for monitoring purposes</w:t>
      </w:r>
    </w:p>
    <w:p w:rsidR="0068158A" w:rsidRDefault="00364AD5">
      <w:pPr>
        <w:numPr>
          <w:ilvl w:val="0"/>
          <w:numId w:val="14"/>
        </w:numPr>
        <w:spacing w:after="10"/>
        <w:ind w:hanging="360"/>
      </w:pPr>
      <w:r>
        <w:t xml:space="preserve">Follows the awarding body’s instructions for the submission of grades (Pass, Merit, </w:t>
      </w:r>
    </w:p>
    <w:p w:rsidR="0068158A" w:rsidRDefault="00364AD5">
      <w:pPr>
        <w:spacing w:after="384"/>
        <w:ind w:left="730"/>
      </w:pPr>
      <w:r>
        <w:t>Distinction or Not Classified) and the storage and submission of recordings</w:t>
      </w:r>
    </w:p>
    <w:p w:rsidR="0068158A" w:rsidRDefault="00364AD5">
      <w:pPr>
        <w:pStyle w:val="Heading2"/>
        <w:ind w:left="-5"/>
      </w:pPr>
      <w:r>
        <w:t>Examinations Officer</w:t>
      </w:r>
    </w:p>
    <w:p w:rsidR="0068158A" w:rsidRDefault="00364AD5">
      <w:pPr>
        <w:ind w:left="720" w:hanging="360"/>
      </w:pPr>
      <w:r>
        <w:t>● Follows the awarding body’s instructions for the submission of grades and recordings</w:t>
      </w:r>
    </w:p>
    <w:sectPr w:rsidR="0068158A">
      <w:headerReference w:type="even" r:id="rId12"/>
      <w:headerReference w:type="default" r:id="rId13"/>
      <w:footerReference w:type="even" r:id="rId14"/>
      <w:footerReference w:type="default" r:id="rId15"/>
      <w:headerReference w:type="first" r:id="rId16"/>
      <w:footerReference w:type="first" r:id="rId17"/>
      <w:pgSz w:w="11900" w:h="16840"/>
      <w:pgMar w:top="901" w:right="1134" w:bottom="1350"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CDB" w:rsidRDefault="00364AD5">
      <w:pPr>
        <w:spacing w:after="0" w:line="240" w:lineRule="auto"/>
      </w:pPr>
      <w:r>
        <w:separator/>
      </w:r>
    </w:p>
  </w:endnote>
  <w:endnote w:type="continuationSeparator" w:id="0">
    <w:p w:rsidR="009B2CDB" w:rsidRDefault="00364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58A" w:rsidRDefault="00364AD5">
    <w:pPr>
      <w:spacing w:after="0" w:line="240" w:lineRule="auto"/>
      <w:ind w:left="0" w:firstLine="0"/>
      <w:jc w:val="right"/>
    </w:pPr>
    <w:r>
      <w:fldChar w:fldCharType="begin"/>
    </w:r>
    <w:r>
      <w:instrText xml:space="preserve"> PAGE   \* MERGEFORMAT </w:instrText>
    </w:r>
    <w:r>
      <w:fldChar w:fldCharType="separate"/>
    </w:r>
    <w:r>
      <w:rPr>
        <w:sz w:val="20"/>
      </w:rPr>
      <w:t>2</w:t>
    </w:r>
    <w:r>
      <w:rPr>
        <w:sz w:val="20"/>
      </w:rPr>
      <w:fldChar w:fldCharType="end"/>
    </w:r>
    <w:r>
      <w:rPr>
        <w:sz w:val="20"/>
      </w:rPr>
      <w:t>Non-Examination Assessment Policy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58A" w:rsidRDefault="00364AD5">
    <w:pPr>
      <w:spacing w:after="0" w:line="240" w:lineRule="auto"/>
      <w:ind w:left="0" w:firstLine="0"/>
      <w:jc w:val="right"/>
    </w:pPr>
    <w:r>
      <w:fldChar w:fldCharType="begin"/>
    </w:r>
    <w:r>
      <w:instrText xml:space="preserve"> PAGE   \* MERGEFORMAT </w:instrText>
    </w:r>
    <w:r>
      <w:fldChar w:fldCharType="separate"/>
    </w:r>
    <w:r w:rsidR="00C463A8" w:rsidRPr="00C463A8">
      <w:rPr>
        <w:noProof/>
        <w:sz w:val="20"/>
      </w:rPr>
      <w:t>2</w:t>
    </w:r>
    <w:r>
      <w:rPr>
        <w:sz w:val="20"/>
      </w:rPr>
      <w:fldChar w:fldCharType="end"/>
    </w:r>
    <w:r w:rsidR="00C463A8">
      <w:rPr>
        <w:sz w:val="20"/>
      </w:rPr>
      <w:t>/</w:t>
    </w:r>
    <w:bookmarkStart w:id="0" w:name="_GoBack"/>
    <w:bookmarkEnd w:id="0"/>
    <w:r>
      <w:rPr>
        <w:sz w:val="20"/>
      </w:rPr>
      <w:t>Non-Examination Assessment Policy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158A" w:rsidRDefault="0068158A">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CDB" w:rsidRDefault="00364AD5">
      <w:pPr>
        <w:spacing w:after="0" w:line="240" w:lineRule="auto"/>
      </w:pPr>
      <w:r>
        <w:separator/>
      </w:r>
    </w:p>
  </w:footnote>
  <w:footnote w:type="continuationSeparator" w:id="0">
    <w:p w:rsidR="009B2CDB" w:rsidRDefault="00364A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3A8" w:rsidRDefault="00C463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3A8" w:rsidRDefault="00C463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3A8" w:rsidRDefault="00C463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C6815"/>
    <w:multiLevelType w:val="hybridMultilevel"/>
    <w:tmpl w:val="6D20BDC6"/>
    <w:lvl w:ilvl="0" w:tplc="DA4E830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D4D19C">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90C2EB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2442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54AC42">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F76424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A479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BDAD13C">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084B98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6B7E2E"/>
    <w:multiLevelType w:val="hybridMultilevel"/>
    <w:tmpl w:val="14F2F040"/>
    <w:lvl w:ilvl="0" w:tplc="8B54869E">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668F124">
      <w:start w:val="1"/>
      <w:numFmt w:val="bullet"/>
      <w:lvlText w:val="o"/>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5B471C2">
      <w:start w:val="1"/>
      <w:numFmt w:val="bullet"/>
      <w:lvlText w:val="▪"/>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80933E">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A83452">
      <w:start w:val="1"/>
      <w:numFmt w:val="bullet"/>
      <w:lvlText w:val="o"/>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0427320">
      <w:start w:val="1"/>
      <w:numFmt w:val="bullet"/>
      <w:lvlText w:val="▪"/>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7180FCE">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6A5444">
      <w:start w:val="1"/>
      <w:numFmt w:val="bullet"/>
      <w:lvlText w:val="o"/>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02A3F24">
      <w:start w:val="1"/>
      <w:numFmt w:val="bullet"/>
      <w:lvlText w:val="▪"/>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2BD582D"/>
    <w:multiLevelType w:val="hybridMultilevel"/>
    <w:tmpl w:val="E3DE7E0A"/>
    <w:lvl w:ilvl="0" w:tplc="C9BE3380">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188FC2">
      <w:start w:val="1"/>
      <w:numFmt w:val="bullet"/>
      <w:lvlText w:val="o"/>
      <w:lvlJc w:val="left"/>
      <w:pPr>
        <w:ind w:left="13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6E287B78">
      <w:start w:val="1"/>
      <w:numFmt w:val="bullet"/>
      <w:lvlText w:val="▪"/>
      <w:lvlJc w:val="left"/>
      <w:pPr>
        <w:ind w:left="20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CCE1DB6">
      <w:start w:val="1"/>
      <w:numFmt w:val="bullet"/>
      <w:lvlText w:val="•"/>
      <w:lvlJc w:val="left"/>
      <w:pPr>
        <w:ind w:left="28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2C4BD56">
      <w:start w:val="1"/>
      <w:numFmt w:val="bullet"/>
      <w:lvlText w:val="o"/>
      <w:lvlJc w:val="left"/>
      <w:pPr>
        <w:ind w:left="35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39EE4E8">
      <w:start w:val="1"/>
      <w:numFmt w:val="bullet"/>
      <w:lvlText w:val="▪"/>
      <w:lvlJc w:val="left"/>
      <w:pPr>
        <w:ind w:left="42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33C09C06">
      <w:start w:val="1"/>
      <w:numFmt w:val="bullet"/>
      <w:lvlText w:val="•"/>
      <w:lvlJc w:val="left"/>
      <w:pPr>
        <w:ind w:left="49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2689144">
      <w:start w:val="1"/>
      <w:numFmt w:val="bullet"/>
      <w:lvlText w:val="o"/>
      <w:lvlJc w:val="left"/>
      <w:pPr>
        <w:ind w:left="56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00A2332">
      <w:start w:val="1"/>
      <w:numFmt w:val="bullet"/>
      <w:lvlText w:val="▪"/>
      <w:lvlJc w:val="left"/>
      <w:pPr>
        <w:ind w:left="64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66C3BF8"/>
    <w:multiLevelType w:val="hybridMultilevel"/>
    <w:tmpl w:val="A1A6D504"/>
    <w:lvl w:ilvl="0" w:tplc="7D98C3FE">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3C5716">
      <w:start w:val="1"/>
      <w:numFmt w:val="bullet"/>
      <w:lvlText w:val="o"/>
      <w:lvlJc w:val="left"/>
      <w:pPr>
        <w:ind w:left="13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547A5736">
      <w:start w:val="1"/>
      <w:numFmt w:val="bullet"/>
      <w:lvlText w:val="▪"/>
      <w:lvlJc w:val="left"/>
      <w:pPr>
        <w:ind w:left="20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F0CC3F8">
      <w:start w:val="1"/>
      <w:numFmt w:val="bullet"/>
      <w:lvlText w:val="•"/>
      <w:lvlJc w:val="left"/>
      <w:pPr>
        <w:ind w:left="28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638745E">
      <w:start w:val="1"/>
      <w:numFmt w:val="bullet"/>
      <w:lvlText w:val="o"/>
      <w:lvlJc w:val="left"/>
      <w:pPr>
        <w:ind w:left="35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79EA836">
      <w:start w:val="1"/>
      <w:numFmt w:val="bullet"/>
      <w:lvlText w:val="▪"/>
      <w:lvlJc w:val="left"/>
      <w:pPr>
        <w:ind w:left="424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AFA12B8">
      <w:start w:val="1"/>
      <w:numFmt w:val="bullet"/>
      <w:lvlText w:val="•"/>
      <w:lvlJc w:val="left"/>
      <w:pPr>
        <w:ind w:left="49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DFE4468">
      <w:start w:val="1"/>
      <w:numFmt w:val="bullet"/>
      <w:lvlText w:val="o"/>
      <w:lvlJc w:val="left"/>
      <w:pPr>
        <w:ind w:left="568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1E85654">
      <w:start w:val="1"/>
      <w:numFmt w:val="bullet"/>
      <w:lvlText w:val="▪"/>
      <w:lvlJc w:val="left"/>
      <w:pPr>
        <w:ind w:left="640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8F204F"/>
    <w:multiLevelType w:val="hybridMultilevel"/>
    <w:tmpl w:val="74E609BE"/>
    <w:lvl w:ilvl="0" w:tplc="171AB26E">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9A313A">
      <w:start w:val="1"/>
      <w:numFmt w:val="bullet"/>
      <w:lvlText w:val="o"/>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FD0E338">
      <w:start w:val="1"/>
      <w:numFmt w:val="bullet"/>
      <w:lvlText w:val="▪"/>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98E4F86">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283038">
      <w:start w:val="1"/>
      <w:numFmt w:val="bullet"/>
      <w:lvlText w:val="o"/>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BA55E6">
      <w:start w:val="1"/>
      <w:numFmt w:val="bullet"/>
      <w:lvlText w:val="▪"/>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E92B7D4">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480ABE">
      <w:start w:val="1"/>
      <w:numFmt w:val="bullet"/>
      <w:lvlText w:val="o"/>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24B934">
      <w:start w:val="1"/>
      <w:numFmt w:val="bullet"/>
      <w:lvlText w:val="▪"/>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B866649"/>
    <w:multiLevelType w:val="hybridMultilevel"/>
    <w:tmpl w:val="9EFCA760"/>
    <w:lvl w:ilvl="0" w:tplc="B5E469D4">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7022358">
      <w:start w:val="1"/>
      <w:numFmt w:val="bullet"/>
      <w:lvlText w:val="o"/>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E62BABC">
      <w:start w:val="1"/>
      <w:numFmt w:val="bullet"/>
      <w:lvlText w:val="▪"/>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C86E60C">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2C6436">
      <w:start w:val="1"/>
      <w:numFmt w:val="bullet"/>
      <w:lvlText w:val="o"/>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9369DE0">
      <w:start w:val="1"/>
      <w:numFmt w:val="bullet"/>
      <w:lvlText w:val="▪"/>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1A434A2">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C8CE926">
      <w:start w:val="1"/>
      <w:numFmt w:val="bullet"/>
      <w:lvlText w:val="o"/>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F2E9B64">
      <w:start w:val="1"/>
      <w:numFmt w:val="bullet"/>
      <w:lvlText w:val="▪"/>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2591756"/>
    <w:multiLevelType w:val="hybridMultilevel"/>
    <w:tmpl w:val="FC1C7580"/>
    <w:lvl w:ilvl="0" w:tplc="3B0EDB1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F9602A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AEE3D40">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2165A3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50F5E6">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0AACC4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A26745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72D03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7ECBCBC">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4EE0FCB"/>
    <w:multiLevelType w:val="hybridMultilevel"/>
    <w:tmpl w:val="39641E50"/>
    <w:lvl w:ilvl="0" w:tplc="4FB66A30">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D28B2A">
      <w:start w:val="1"/>
      <w:numFmt w:val="bullet"/>
      <w:lvlText w:val="o"/>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5183176">
      <w:start w:val="1"/>
      <w:numFmt w:val="bullet"/>
      <w:lvlText w:val="▪"/>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EEF0B2">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2E4DD6">
      <w:start w:val="1"/>
      <w:numFmt w:val="bullet"/>
      <w:lvlText w:val="o"/>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0C840C0">
      <w:start w:val="1"/>
      <w:numFmt w:val="bullet"/>
      <w:lvlText w:val="▪"/>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E68B5FE">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8499BA">
      <w:start w:val="1"/>
      <w:numFmt w:val="bullet"/>
      <w:lvlText w:val="o"/>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DFCD378">
      <w:start w:val="1"/>
      <w:numFmt w:val="bullet"/>
      <w:lvlText w:val="▪"/>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F476A6"/>
    <w:multiLevelType w:val="hybridMultilevel"/>
    <w:tmpl w:val="4066DC00"/>
    <w:lvl w:ilvl="0" w:tplc="73AAA8FA">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46D76E">
      <w:start w:val="1"/>
      <w:numFmt w:val="bullet"/>
      <w:lvlText w:val="o"/>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E842CA">
      <w:start w:val="1"/>
      <w:numFmt w:val="bullet"/>
      <w:lvlText w:val="▪"/>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FD4F324">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F84DC8">
      <w:start w:val="1"/>
      <w:numFmt w:val="bullet"/>
      <w:lvlText w:val="o"/>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9FAF430">
      <w:start w:val="1"/>
      <w:numFmt w:val="bullet"/>
      <w:lvlText w:val="▪"/>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936E698">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409BAE">
      <w:start w:val="1"/>
      <w:numFmt w:val="bullet"/>
      <w:lvlText w:val="o"/>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29EADE2">
      <w:start w:val="1"/>
      <w:numFmt w:val="bullet"/>
      <w:lvlText w:val="▪"/>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5980EE2"/>
    <w:multiLevelType w:val="hybridMultilevel"/>
    <w:tmpl w:val="5B042FF6"/>
    <w:lvl w:ilvl="0" w:tplc="78B4EF20">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E23864">
      <w:start w:val="1"/>
      <w:numFmt w:val="bullet"/>
      <w:lvlText w:val="o"/>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0A4560">
      <w:start w:val="1"/>
      <w:numFmt w:val="bullet"/>
      <w:lvlText w:val="▪"/>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2FA0756">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E8C46C0">
      <w:start w:val="1"/>
      <w:numFmt w:val="bullet"/>
      <w:lvlText w:val="o"/>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1078D6">
      <w:start w:val="1"/>
      <w:numFmt w:val="bullet"/>
      <w:lvlText w:val="▪"/>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C04A86">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A0BE5A">
      <w:start w:val="1"/>
      <w:numFmt w:val="bullet"/>
      <w:lvlText w:val="o"/>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DC42E16">
      <w:start w:val="1"/>
      <w:numFmt w:val="bullet"/>
      <w:lvlText w:val="▪"/>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5EA5778"/>
    <w:multiLevelType w:val="hybridMultilevel"/>
    <w:tmpl w:val="AE2A3208"/>
    <w:lvl w:ilvl="0" w:tplc="EC4E343E">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76396C">
      <w:start w:val="1"/>
      <w:numFmt w:val="bullet"/>
      <w:lvlText w:val="o"/>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5A3E58">
      <w:start w:val="1"/>
      <w:numFmt w:val="bullet"/>
      <w:lvlText w:val="▪"/>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566C532">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D62C08">
      <w:start w:val="1"/>
      <w:numFmt w:val="bullet"/>
      <w:lvlText w:val="o"/>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FC2770">
      <w:start w:val="1"/>
      <w:numFmt w:val="bullet"/>
      <w:lvlText w:val="▪"/>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75EF1BC">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F74739A">
      <w:start w:val="1"/>
      <w:numFmt w:val="bullet"/>
      <w:lvlText w:val="o"/>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86FEA6">
      <w:start w:val="1"/>
      <w:numFmt w:val="bullet"/>
      <w:lvlText w:val="▪"/>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62B69F0"/>
    <w:multiLevelType w:val="hybridMultilevel"/>
    <w:tmpl w:val="B394C64A"/>
    <w:lvl w:ilvl="0" w:tplc="C16E54A2">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F64600">
      <w:start w:val="1"/>
      <w:numFmt w:val="bullet"/>
      <w:lvlText w:val="o"/>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C2888E">
      <w:start w:val="1"/>
      <w:numFmt w:val="bullet"/>
      <w:lvlText w:val="▪"/>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B1634B0">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ECB262">
      <w:start w:val="1"/>
      <w:numFmt w:val="bullet"/>
      <w:lvlText w:val="o"/>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656FB6C">
      <w:start w:val="1"/>
      <w:numFmt w:val="bullet"/>
      <w:lvlText w:val="▪"/>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6DCFDF4">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6CB6DA">
      <w:start w:val="1"/>
      <w:numFmt w:val="bullet"/>
      <w:lvlText w:val="o"/>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C661008">
      <w:start w:val="1"/>
      <w:numFmt w:val="bullet"/>
      <w:lvlText w:val="▪"/>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BF7583D"/>
    <w:multiLevelType w:val="hybridMultilevel"/>
    <w:tmpl w:val="D0F047A6"/>
    <w:lvl w:ilvl="0" w:tplc="0D7A4A2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A2D95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CA75F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9E231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12CD8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EE67E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0E656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C501E6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248A01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EEB070D"/>
    <w:multiLevelType w:val="hybridMultilevel"/>
    <w:tmpl w:val="39A84228"/>
    <w:lvl w:ilvl="0" w:tplc="5B76220A">
      <w:start w:val="1"/>
      <w:numFmt w:val="bullet"/>
      <w:lvlText w:val="●"/>
      <w:lvlJc w:val="left"/>
      <w:pPr>
        <w:ind w:left="6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7644DE">
      <w:start w:val="1"/>
      <w:numFmt w:val="bullet"/>
      <w:lvlText w:val="o"/>
      <w:lvlJc w:val="left"/>
      <w:pPr>
        <w:ind w:left="13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1849F4">
      <w:start w:val="1"/>
      <w:numFmt w:val="bullet"/>
      <w:lvlText w:val="▪"/>
      <w:lvlJc w:val="left"/>
      <w:pPr>
        <w:ind w:left="2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A06758E">
      <w:start w:val="1"/>
      <w:numFmt w:val="bullet"/>
      <w:lvlText w:val="•"/>
      <w:lvlJc w:val="left"/>
      <w:pPr>
        <w:ind w:left="28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B0B5FA">
      <w:start w:val="1"/>
      <w:numFmt w:val="bullet"/>
      <w:lvlText w:val="o"/>
      <w:lvlJc w:val="left"/>
      <w:pPr>
        <w:ind w:left="35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FB01B5C">
      <w:start w:val="1"/>
      <w:numFmt w:val="bullet"/>
      <w:lvlText w:val="▪"/>
      <w:lvlJc w:val="left"/>
      <w:pPr>
        <w:ind w:left="4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D2C4EC">
      <w:start w:val="1"/>
      <w:numFmt w:val="bullet"/>
      <w:lvlText w:val="•"/>
      <w:lvlJc w:val="left"/>
      <w:pPr>
        <w:ind w:left="49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BCF198">
      <w:start w:val="1"/>
      <w:numFmt w:val="bullet"/>
      <w:lvlText w:val="o"/>
      <w:lvlJc w:val="left"/>
      <w:pPr>
        <w:ind w:left="56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AC55D6">
      <w:start w:val="1"/>
      <w:numFmt w:val="bullet"/>
      <w:lvlText w:val="▪"/>
      <w:lvlJc w:val="left"/>
      <w:pPr>
        <w:ind w:left="6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11"/>
  </w:num>
  <w:num w:numId="3">
    <w:abstractNumId w:val="7"/>
  </w:num>
  <w:num w:numId="4">
    <w:abstractNumId w:val="5"/>
  </w:num>
  <w:num w:numId="5">
    <w:abstractNumId w:val="12"/>
  </w:num>
  <w:num w:numId="6">
    <w:abstractNumId w:val="8"/>
  </w:num>
  <w:num w:numId="7">
    <w:abstractNumId w:val="3"/>
  </w:num>
  <w:num w:numId="8">
    <w:abstractNumId w:val="2"/>
  </w:num>
  <w:num w:numId="9">
    <w:abstractNumId w:val="10"/>
  </w:num>
  <w:num w:numId="10">
    <w:abstractNumId w:val="13"/>
  </w:num>
  <w:num w:numId="11">
    <w:abstractNumId w:val="9"/>
  </w:num>
  <w:num w:numId="12">
    <w:abstractNumId w:val="4"/>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58A"/>
    <w:rsid w:val="000A4625"/>
    <w:rsid w:val="00364AD5"/>
    <w:rsid w:val="003717B0"/>
    <w:rsid w:val="0068158A"/>
    <w:rsid w:val="009B2CDB"/>
    <w:rsid w:val="00C46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73D0"/>
  <w15:docId w15:val="{8B61857C-1FAA-49FF-B412-F2F7E686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3" w:line="250" w:lineRule="auto"/>
      <w:ind w:left="10" w:hanging="10"/>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line="265" w:lineRule="auto"/>
      <w:ind w:left="10" w:hanging="10"/>
      <w:jc w:val="center"/>
      <w:outlineLvl w:val="0"/>
    </w:pPr>
    <w:rPr>
      <w:rFonts w:ascii="Arial" w:eastAsia="Arial" w:hAnsi="Arial" w:cs="Arial"/>
      <w:b/>
      <w:color w:val="000000"/>
      <w:sz w:val="56"/>
    </w:rPr>
  </w:style>
  <w:style w:type="paragraph" w:styleId="Heading2">
    <w:name w:val="heading 2"/>
    <w:next w:val="Normal"/>
    <w:link w:val="Heading2Char"/>
    <w:uiPriority w:val="9"/>
    <w:unhideWhenUsed/>
    <w:qFormat/>
    <w:pPr>
      <w:keepNext/>
      <w:keepLines/>
      <w:spacing w:after="108" w:line="250" w:lineRule="auto"/>
      <w:ind w:left="1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98"/>
      <w:ind w:left="10" w:hanging="10"/>
      <w:outlineLvl w:val="2"/>
    </w:pPr>
    <w:rPr>
      <w:rFonts w:ascii="Arial" w:eastAsia="Arial" w:hAnsi="Arial" w:cs="Arial"/>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56"/>
    </w:rPr>
  </w:style>
  <w:style w:type="character" w:customStyle="1" w:styleId="Heading3Char">
    <w:name w:val="Heading 3 Char"/>
    <w:link w:val="Heading3"/>
    <w:rPr>
      <w:rFonts w:ascii="Arial" w:eastAsia="Arial" w:hAnsi="Arial" w:cs="Arial"/>
      <w:color w:val="000000"/>
      <w:sz w:val="24"/>
      <w:u w:val="single" w:color="000000"/>
    </w:rPr>
  </w:style>
  <w:style w:type="paragraph" w:styleId="Header">
    <w:name w:val="header"/>
    <w:basedOn w:val="Normal"/>
    <w:link w:val="HeaderChar"/>
    <w:uiPriority w:val="99"/>
    <w:unhideWhenUsed/>
    <w:rsid w:val="00C463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3A8"/>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jcq.org.uk/exams-office/non-examination-assessment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cq.org.uk/exams-office/non-examination-assessments/notice-to-centres---sharing-nea-material-and-candidates-wor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jcq.org.uk/exams-office/non-examination-assessments/notice-to-centres---sharing-nea-material-and-candidates-wor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jcq.org.uk/exams-office/non-examination-assessments/notice-to-centres---sharing-nea-material-and-candidates-wor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1951</Words>
  <Characters>11127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Meadow High School</Company>
  <LinksUpToDate>false</LinksUpToDate>
  <CharactersWithSpaces>13052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cp:lastModifiedBy>Alison Norris</cp:lastModifiedBy>
  <cp:revision>5</cp:revision>
  <dcterms:created xsi:type="dcterms:W3CDTF">2026-01-27T10:05:00Z</dcterms:created>
  <dcterms:modified xsi:type="dcterms:W3CDTF">2026-02-03T12:48:00Z</dcterms:modified>
</cp:coreProperties>
</file>